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A9" w:rsidRDefault="00C719A9" w:rsidP="00B50D07">
      <w:pPr>
        <w:pStyle w:val="TOC1"/>
        <w:jc w:val="center"/>
      </w:pPr>
      <w:r>
        <w:rPr>
          <w:noProof/>
        </w:rPr>
        <w:pict>
          <v:line id="Linia 2" o:spid="_x0000_s1026" style="position:absolute;left:0;text-align:left;z-index:251658240" from="0,18pt" to="456pt,18pt" o:gfxdata="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5lOTNMAAAAGAQAADwAAAAAAAAABACAAAAAiAAAAZHJzL2Rvd25yZXYueG1sUEsB&#10;AhQAFAAAAAgAh07iQFnQgxnBAQAAjAMAAA4AAAAAAAAAAQAgAAAAIgEAAGRycy9lMm9Eb2MueG1s&#10;UEsFBgAAAAAGAAYAWQEAAFUFAAAAAA==&#10;"/>
        </w:pict>
      </w:r>
      <w:r>
        <w:t>Starostwo powiatowe we Wrocławiu</w:t>
      </w:r>
    </w:p>
    <w:p w:rsidR="00C719A9" w:rsidRDefault="00C719A9">
      <w:pPr>
        <w:jc w:val="center"/>
      </w:pPr>
      <w:r>
        <w:rPr>
          <w:color w:val="000000"/>
          <w:spacing w:val="-9"/>
          <w:position w:val="1"/>
          <w:szCs w:val="42"/>
        </w:rPr>
        <w:t>ul. Kościuszki 131  50-440 Wrocław</w:t>
      </w:r>
    </w:p>
    <w:p w:rsidR="00C719A9" w:rsidRDefault="00C719A9">
      <w:pPr>
        <w:jc w:val="center"/>
        <w:rPr>
          <w:b/>
          <w:sz w:val="19"/>
        </w:rPr>
      </w:pPr>
    </w:p>
    <w:p w:rsidR="00C719A9" w:rsidRDefault="00C719A9" w:rsidP="009F5AC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5.1. do SIWZ</w:t>
      </w:r>
    </w:p>
    <w:p w:rsidR="00C719A9" w:rsidRPr="009F5AC2" w:rsidRDefault="00C719A9" w:rsidP="009F5AC2">
      <w:pPr>
        <w:rPr>
          <w:b/>
          <w:sz w:val="22"/>
          <w:szCs w:val="22"/>
        </w:rPr>
      </w:pPr>
      <w:r>
        <w:rPr>
          <w:b/>
          <w:sz w:val="22"/>
          <w:szCs w:val="22"/>
        </w:rPr>
        <w:t>SP.ZP.272.18.2017.II.DT</w:t>
      </w: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both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  <w:r>
        <w:rPr>
          <w:sz w:val="28"/>
        </w:rPr>
        <w:t>SZCZEGÓŁOWA SPECYFIKACJA TECHNICZNA (STT)</w:t>
      </w: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7"/>
        </w:rPr>
      </w:pPr>
    </w:p>
    <w:p w:rsidR="00C719A9" w:rsidRDefault="00C719A9">
      <w:pPr>
        <w:jc w:val="center"/>
        <w:rPr>
          <w:b/>
          <w:sz w:val="27"/>
        </w:rPr>
      </w:pPr>
      <w:r>
        <w:rPr>
          <w:b/>
          <w:sz w:val="28"/>
        </w:rPr>
        <w:t>OZNAKOWANIE POZIOME</w:t>
      </w: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center"/>
        <w:rPr>
          <w:b/>
          <w:sz w:val="28"/>
        </w:rPr>
      </w:pPr>
    </w:p>
    <w:p w:rsidR="00C719A9" w:rsidRDefault="00C719A9">
      <w:pPr>
        <w:jc w:val="both"/>
        <w:rPr>
          <w:b/>
          <w:sz w:val="28"/>
        </w:rPr>
      </w:pPr>
    </w:p>
    <w:p w:rsidR="00C719A9" w:rsidRDefault="00C719A9">
      <w:pPr>
        <w:jc w:val="center"/>
        <w:rPr>
          <w:b/>
          <w:sz w:val="27"/>
        </w:rPr>
      </w:pPr>
    </w:p>
    <w:p w:rsidR="00C719A9" w:rsidRDefault="00C719A9">
      <w:pPr>
        <w:shd w:val="clear" w:color="auto" w:fill="FFFFFF"/>
        <w:spacing w:line="394" w:lineRule="exact"/>
        <w:rPr>
          <w:b/>
          <w:bCs/>
          <w:color w:val="000000"/>
          <w:spacing w:val="-9"/>
          <w:position w:val="1"/>
          <w:sz w:val="28"/>
          <w:szCs w:val="28"/>
          <w:u w:val="single"/>
        </w:rPr>
      </w:pPr>
    </w:p>
    <w:p w:rsidR="00C719A9" w:rsidRDefault="00C719A9">
      <w:pPr>
        <w:shd w:val="clear" w:color="auto" w:fill="FFFFFF"/>
        <w:spacing w:line="394" w:lineRule="exact"/>
        <w:rPr>
          <w:b/>
          <w:bCs/>
          <w:color w:val="000000"/>
          <w:spacing w:val="-9"/>
          <w:position w:val="1"/>
          <w:sz w:val="28"/>
          <w:szCs w:val="28"/>
          <w:u w:val="single"/>
        </w:rPr>
      </w:pPr>
    </w:p>
    <w:p w:rsidR="00C719A9" w:rsidRDefault="00C719A9">
      <w:pPr>
        <w:shd w:val="clear" w:color="auto" w:fill="FFFFFF"/>
        <w:spacing w:line="394" w:lineRule="exact"/>
        <w:rPr>
          <w:b/>
          <w:bCs/>
          <w:color w:val="000000"/>
          <w:spacing w:val="-9"/>
          <w:position w:val="1"/>
          <w:sz w:val="28"/>
          <w:szCs w:val="28"/>
          <w:u w:val="single"/>
        </w:rPr>
      </w:pPr>
    </w:p>
    <w:p w:rsidR="00C719A9" w:rsidRDefault="00C719A9">
      <w:pPr>
        <w:shd w:val="clear" w:color="auto" w:fill="FFFFFF"/>
        <w:spacing w:line="394" w:lineRule="exact"/>
        <w:rPr>
          <w:b/>
          <w:bCs/>
          <w:color w:val="000000"/>
          <w:spacing w:val="-9"/>
          <w:position w:val="1"/>
          <w:sz w:val="28"/>
          <w:szCs w:val="28"/>
          <w:u w:val="single"/>
        </w:rPr>
      </w:pPr>
    </w:p>
    <w:p w:rsidR="00C719A9" w:rsidRDefault="00C719A9">
      <w:pPr>
        <w:shd w:val="clear" w:color="auto" w:fill="FFFFFF"/>
        <w:spacing w:line="394" w:lineRule="exact"/>
        <w:rPr>
          <w:b/>
          <w:bCs/>
          <w:color w:val="000000"/>
          <w:spacing w:val="-9"/>
          <w:position w:val="1"/>
          <w:sz w:val="28"/>
          <w:szCs w:val="28"/>
          <w:u w:val="single"/>
        </w:rPr>
      </w:pPr>
    </w:p>
    <w:p w:rsidR="00C719A9" w:rsidRDefault="00C719A9">
      <w:pPr>
        <w:shd w:val="clear" w:color="auto" w:fill="FFFFFF"/>
        <w:spacing w:line="394" w:lineRule="exact"/>
        <w:rPr>
          <w:b/>
          <w:bCs/>
          <w:color w:val="000000"/>
          <w:spacing w:val="-9"/>
          <w:position w:val="1"/>
          <w:sz w:val="28"/>
          <w:szCs w:val="28"/>
          <w:u w:val="single"/>
        </w:rPr>
      </w:pPr>
      <w:r>
        <w:rPr>
          <w:noProof/>
        </w:rPr>
        <w:pict>
          <v:line id="Linia 3" o:spid="_x0000_s1027" style="position:absolute;z-index:251659264" from="2.15pt,17.4pt" to="458.15pt,17.4pt" o:gfxdata="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QZbjNQAAAAHAQAADwAAAAAAAAABACAAAAAiAAAAZHJzL2Rvd25yZXYueG1sUEsB&#10;AhQAFAAAAAgAh07iQLrx/WrAAQAAjAMAAA4AAAAAAAAAAQAgAAAAIwEAAGRycy9lMm9Eb2MueG1s&#10;UEsFBgAAAAAGAAYAWQEAAFUFAAAAAA==&#10;"/>
        </w:pict>
      </w:r>
    </w:p>
    <w:p w:rsidR="00C719A9" w:rsidRDefault="00C719A9">
      <w:pPr>
        <w:jc w:val="center"/>
        <w:rPr>
          <w:sz w:val="20"/>
        </w:rPr>
      </w:pPr>
      <w:r>
        <w:rPr>
          <w:bCs/>
          <w:color w:val="000000"/>
          <w:spacing w:val="-9"/>
          <w:position w:val="1"/>
          <w:sz w:val="28"/>
          <w:szCs w:val="28"/>
        </w:rPr>
        <w:t>Wrocław 2017 r.</w:t>
      </w:r>
    </w:p>
    <w:p w:rsidR="00C719A9" w:rsidRDefault="00C719A9">
      <w:pPr>
        <w:pBdr>
          <w:bottom w:val="single" w:sz="6" w:space="0" w:color="auto"/>
        </w:pBdr>
        <w:rPr>
          <w:sz w:val="20"/>
        </w:rPr>
      </w:pPr>
    </w:p>
    <w:p w:rsidR="00C719A9" w:rsidRDefault="00C719A9">
      <w:pPr>
        <w:pBdr>
          <w:bottom w:val="single" w:sz="6" w:space="0" w:color="auto"/>
        </w:pBdr>
        <w:rPr>
          <w:sz w:val="20"/>
        </w:rPr>
      </w:pPr>
    </w:p>
    <w:p w:rsidR="00C719A9" w:rsidRDefault="00C719A9">
      <w:pPr>
        <w:spacing w:before="240"/>
        <w:jc w:val="center"/>
        <w:rPr>
          <w:b/>
          <w:sz w:val="20"/>
        </w:rPr>
      </w:pPr>
      <w:r>
        <w:rPr>
          <w:b/>
          <w:sz w:val="20"/>
        </w:rPr>
        <w:t>SPIS TREŚCI</w:t>
      </w:r>
    </w:p>
    <w:p w:rsidR="00C719A9" w:rsidRDefault="00C719A9">
      <w:pPr>
        <w:pStyle w:val="Heading1"/>
      </w:pPr>
      <w:r>
        <w:rPr>
          <w:b w:val="0"/>
        </w:rPr>
        <w:t xml:space="preserve">  </w:t>
      </w:r>
      <w:r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>
        <w:rPr>
          <w:b w:val="0"/>
        </w:rPr>
        <w:fldChar w:fldCharType="separate"/>
      </w:r>
      <w:r>
        <w:t>1. WSTĘP - 2</w:t>
      </w:r>
    </w:p>
    <w:p w:rsidR="00C719A9" w:rsidRDefault="00C719A9">
      <w:pPr>
        <w:pStyle w:val="Heading1"/>
      </w:pPr>
      <w:r>
        <w:t xml:space="preserve">  2. MATERIAŁY - 3</w:t>
      </w:r>
    </w:p>
    <w:p w:rsidR="00C719A9" w:rsidRDefault="00C719A9">
      <w:pPr>
        <w:pStyle w:val="Heading1"/>
      </w:pPr>
      <w:r>
        <w:t xml:space="preserve">  3. SPRZĘT - 4</w:t>
      </w:r>
    </w:p>
    <w:p w:rsidR="00C719A9" w:rsidRDefault="00C719A9">
      <w:pPr>
        <w:pStyle w:val="Heading1"/>
      </w:pPr>
      <w:r>
        <w:t xml:space="preserve">  4. TRANSPORT - 4</w:t>
      </w:r>
    </w:p>
    <w:p w:rsidR="00C719A9" w:rsidRDefault="00C719A9">
      <w:pPr>
        <w:pStyle w:val="Heading1"/>
      </w:pPr>
      <w:r>
        <w:t xml:space="preserve">  5. WYKONANIE ROBÓT - 4</w:t>
      </w:r>
    </w:p>
    <w:p w:rsidR="00C719A9" w:rsidRDefault="00C719A9">
      <w:pPr>
        <w:pStyle w:val="Heading1"/>
      </w:pPr>
      <w:r>
        <w:t xml:space="preserve">  6. KONTROLA JAKOŚCI ROBÓT - 6</w:t>
      </w:r>
    </w:p>
    <w:p w:rsidR="00C719A9" w:rsidRDefault="00C719A9">
      <w:pPr>
        <w:pStyle w:val="Heading1"/>
      </w:pPr>
      <w:r>
        <w:t xml:space="preserve">  7. OBMIAR ROBÓT - 6</w:t>
      </w:r>
    </w:p>
    <w:p w:rsidR="00C719A9" w:rsidRDefault="00C719A9">
      <w:pPr>
        <w:pStyle w:val="Heading1"/>
      </w:pPr>
      <w:r>
        <w:t xml:space="preserve">  8. ODBIÓR ROBÓT - 6</w:t>
      </w:r>
    </w:p>
    <w:p w:rsidR="00C719A9" w:rsidRDefault="00C719A9">
      <w:pPr>
        <w:pStyle w:val="Heading1"/>
      </w:pPr>
      <w:r>
        <w:t xml:space="preserve">  9. PODSTAWA PŁATNOŚCI - 7</w:t>
      </w:r>
    </w:p>
    <w:p w:rsidR="00C719A9" w:rsidRDefault="00C719A9">
      <w:pPr>
        <w:pStyle w:val="Heading1"/>
      </w:pPr>
      <w:r>
        <w:t xml:space="preserve">10. PRZEPISY ZWIĄZANE - 7    </w:t>
      </w:r>
    </w:p>
    <w:p w:rsidR="00C719A9" w:rsidRDefault="00C719A9">
      <w:pPr>
        <w:pStyle w:val="Heading1"/>
        <w:rPr>
          <w:b w:val="0"/>
        </w:rPr>
      </w:pPr>
      <w:r>
        <w:rPr>
          <w:b w:val="0"/>
        </w:rPr>
        <w:fldChar w:fldCharType="end"/>
      </w:r>
    </w:p>
    <w:p w:rsidR="00C719A9" w:rsidRDefault="00C719A9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  <w:sz w:val="20"/>
        </w:rPr>
      </w:pPr>
    </w:p>
    <w:p w:rsidR="00C719A9" w:rsidRDefault="00C719A9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  <w:sz w:val="20"/>
        </w:rPr>
      </w:pPr>
    </w:p>
    <w:p w:rsidR="00C719A9" w:rsidRDefault="00C719A9">
      <w:pPr>
        <w:pBdr>
          <w:top w:val="single" w:sz="6" w:space="1" w:color="auto"/>
        </w:pBdr>
        <w:tabs>
          <w:tab w:val="left" w:pos="284"/>
          <w:tab w:val="right" w:leader="dot" w:pos="8789"/>
        </w:tabs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NAJWAŻNIEJSZE OZNACZENIA I SKRÓTY</w:t>
      </w:r>
    </w:p>
    <w:tbl>
      <w:tblPr>
        <w:tblW w:w="4230" w:type="dxa"/>
        <w:tblInd w:w="16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3420"/>
      </w:tblGrid>
      <w:tr w:rsidR="00C719A9" w:rsidRPr="0078173A">
        <w:tc>
          <w:tcPr>
            <w:tcW w:w="810" w:type="dxa"/>
          </w:tcPr>
          <w:p w:rsidR="00C719A9" w:rsidRPr="0078173A" w:rsidRDefault="00C719A9">
            <w:pPr>
              <w:tabs>
                <w:tab w:val="right" w:leader="dot" w:pos="-1985"/>
                <w:tab w:val="left" w:pos="284"/>
              </w:tabs>
              <w:rPr>
                <w:sz w:val="20"/>
              </w:rPr>
            </w:pPr>
            <w:r w:rsidRPr="0078173A">
              <w:rPr>
                <w:sz w:val="20"/>
              </w:rPr>
              <w:t>OST</w:t>
            </w:r>
          </w:p>
        </w:tc>
        <w:tc>
          <w:tcPr>
            <w:tcW w:w="3420" w:type="dxa"/>
          </w:tcPr>
          <w:p w:rsidR="00C719A9" w:rsidRPr="0078173A" w:rsidRDefault="00C719A9">
            <w:pPr>
              <w:tabs>
                <w:tab w:val="right" w:leader="dot" w:pos="-1985"/>
                <w:tab w:val="left" w:pos="284"/>
              </w:tabs>
              <w:rPr>
                <w:sz w:val="20"/>
              </w:rPr>
            </w:pPr>
            <w:r w:rsidRPr="0078173A">
              <w:rPr>
                <w:sz w:val="20"/>
              </w:rPr>
              <w:t>- ogólna specyfikacja techniczna</w:t>
            </w:r>
          </w:p>
        </w:tc>
      </w:tr>
      <w:tr w:rsidR="00C719A9" w:rsidRPr="0078173A">
        <w:trPr>
          <w:trHeight w:val="463"/>
        </w:trPr>
        <w:tc>
          <w:tcPr>
            <w:tcW w:w="810" w:type="dxa"/>
          </w:tcPr>
          <w:p w:rsidR="00C719A9" w:rsidRPr="0078173A" w:rsidRDefault="00C719A9">
            <w:pPr>
              <w:tabs>
                <w:tab w:val="right" w:leader="dot" w:pos="-1985"/>
                <w:tab w:val="left" w:pos="284"/>
              </w:tabs>
              <w:rPr>
                <w:sz w:val="20"/>
              </w:rPr>
            </w:pPr>
            <w:r w:rsidRPr="0078173A">
              <w:rPr>
                <w:sz w:val="20"/>
              </w:rPr>
              <w:t>SST</w:t>
            </w:r>
          </w:p>
        </w:tc>
        <w:tc>
          <w:tcPr>
            <w:tcW w:w="3420" w:type="dxa"/>
          </w:tcPr>
          <w:p w:rsidR="00C719A9" w:rsidRPr="0078173A" w:rsidRDefault="00C719A9">
            <w:pPr>
              <w:tabs>
                <w:tab w:val="right" w:leader="dot" w:pos="-1985"/>
                <w:tab w:val="left" w:pos="284"/>
              </w:tabs>
              <w:rPr>
                <w:sz w:val="20"/>
              </w:rPr>
            </w:pPr>
            <w:r w:rsidRPr="0078173A">
              <w:rPr>
                <w:sz w:val="20"/>
              </w:rPr>
              <w:t>- szczegółowa specyfikacja techniczna</w:t>
            </w:r>
          </w:p>
        </w:tc>
      </w:tr>
    </w:tbl>
    <w:p w:rsidR="00C719A9" w:rsidRDefault="00C719A9">
      <w:pPr>
        <w:jc w:val="center"/>
        <w:rPr>
          <w:sz w:val="20"/>
        </w:rPr>
      </w:pPr>
    </w:p>
    <w:p w:rsidR="00C719A9" w:rsidRDefault="00C719A9">
      <w:pPr>
        <w:jc w:val="center"/>
        <w:rPr>
          <w:sz w:val="20"/>
        </w:rPr>
      </w:pPr>
    </w:p>
    <w:p w:rsidR="00C719A9" w:rsidRDefault="00C719A9">
      <w:pPr>
        <w:jc w:val="center"/>
        <w:rPr>
          <w:sz w:val="20"/>
        </w:rPr>
      </w:pPr>
    </w:p>
    <w:p w:rsidR="00C719A9" w:rsidRDefault="00C719A9">
      <w:pPr>
        <w:pStyle w:val="Heading1"/>
      </w:pPr>
      <w:r>
        <w:t>1. WSTĘP</w:t>
      </w:r>
    </w:p>
    <w:p w:rsidR="00C719A9" w:rsidRDefault="00C719A9">
      <w:pPr>
        <w:pStyle w:val="Heading2"/>
      </w:pPr>
      <w:bookmarkStart w:id="0" w:name="_Toc405615031"/>
      <w:bookmarkStart w:id="1" w:name="_Toc407161179"/>
      <w:r>
        <w:t>1.1. Przedmiot SST</w:t>
      </w:r>
    </w:p>
    <w:p w:rsidR="00C719A9" w:rsidRDefault="00C719A9">
      <w:pPr>
        <w:pStyle w:val="Standardowytekst"/>
      </w:pPr>
      <w:r>
        <w:tab/>
        <w:t>Przedmiotem niniejszej szczegółowej specyfikacji technicznej są wymagania dotyczące wykonania i odbioru oznakowania poziomego dróg powiatowych.</w:t>
      </w:r>
    </w:p>
    <w:p w:rsidR="00C719A9" w:rsidRDefault="00C719A9">
      <w:pPr>
        <w:pStyle w:val="Heading2"/>
      </w:pPr>
      <w:r>
        <w:t>1.2. Zakres stosowania SST</w:t>
      </w:r>
    </w:p>
    <w:p w:rsidR="00C719A9" w:rsidRDefault="00C719A9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Szczegółowa specyfikacja techniczna (SST) stanowi dokument przetargowy i umowny przy  zlecaniu i realizacji robót wymienionych w p. 1.1. </w:t>
      </w:r>
    </w:p>
    <w:p w:rsidR="00C719A9" w:rsidRDefault="00C719A9">
      <w:pPr>
        <w:pStyle w:val="Heading2"/>
      </w:pPr>
      <w:bookmarkStart w:id="2" w:name="_Toc405615033"/>
      <w:bookmarkStart w:id="3" w:name="_Toc407161181"/>
      <w:bookmarkEnd w:id="0"/>
      <w:bookmarkEnd w:id="1"/>
      <w:r>
        <w:t>1.3. Zakres robót objętych SST</w:t>
      </w:r>
      <w:bookmarkEnd w:id="2"/>
      <w:bookmarkEnd w:id="3"/>
    </w:p>
    <w:p w:rsidR="00C719A9" w:rsidRDefault="00C719A9">
      <w:pPr>
        <w:pStyle w:val="BodyText"/>
      </w:pPr>
      <w:r>
        <w:tab/>
        <w:t>Ustalenia zawarte w niniejszej specyfikacji dotyczą zasad prowadzenia robót związanych z wykonywaniem i odbiorem oznakowania poziomego stosowanego na drogach o nawierzchni twardej.</w:t>
      </w:r>
    </w:p>
    <w:p w:rsidR="00C719A9" w:rsidRDefault="00C719A9">
      <w:pPr>
        <w:pStyle w:val="Heading2"/>
      </w:pPr>
      <w:r>
        <w:t>1.4. Określenia podstawowe</w:t>
      </w:r>
    </w:p>
    <w:p w:rsidR="00C719A9" w:rsidRDefault="00C719A9">
      <w:pPr>
        <w:rPr>
          <w:sz w:val="20"/>
        </w:rPr>
      </w:pPr>
      <w:r>
        <w:rPr>
          <w:b/>
          <w:sz w:val="20"/>
        </w:rPr>
        <w:t xml:space="preserve">1.4.1. </w:t>
      </w:r>
      <w:r>
        <w:rPr>
          <w:sz w:val="20"/>
        </w:rPr>
        <w:t>Oznakowanie poziome - znaki drogowe poziome, umieszczone na nawierzchni w postaci linii ciągłych lub przerywanych, pojedynczych lub podwójnych, strzałek, napisów, symboli oraz innych linii związanych z oznaczeniem określonych miejsc na tej nawierzchni.</w:t>
      </w:r>
    </w:p>
    <w:p w:rsidR="00C719A9" w:rsidRDefault="00C719A9">
      <w:pPr>
        <w:spacing w:before="120"/>
        <w:rPr>
          <w:sz w:val="20"/>
        </w:rPr>
      </w:pPr>
      <w:r>
        <w:rPr>
          <w:b/>
          <w:sz w:val="20"/>
        </w:rPr>
        <w:t xml:space="preserve">1.4.2. </w:t>
      </w:r>
      <w:r>
        <w:rPr>
          <w:sz w:val="20"/>
        </w:rPr>
        <w:t>Znaki podłużne - linie równoległe do osi jezdni lub odchylone od niej pod niewielkim kątem, występujące jako linie segregacyjne lub krawędziowe, przerywane lub ciągłe.</w:t>
      </w:r>
    </w:p>
    <w:p w:rsidR="00C719A9" w:rsidRDefault="00C719A9">
      <w:pPr>
        <w:spacing w:before="120"/>
        <w:rPr>
          <w:sz w:val="20"/>
        </w:rPr>
      </w:pPr>
      <w:r>
        <w:rPr>
          <w:b/>
          <w:sz w:val="20"/>
        </w:rPr>
        <w:t xml:space="preserve">1.4.3. </w:t>
      </w:r>
      <w:r>
        <w:rPr>
          <w:sz w:val="20"/>
        </w:rPr>
        <w:t>Znaki poprzeczne - znaki wyznaczające miejsca przeznaczone do ruchu pieszych i rowerzystów w poprzek jezdni oraz miejsca zatrzymania pojazdów.</w:t>
      </w:r>
    </w:p>
    <w:p w:rsidR="00C719A9" w:rsidRDefault="00C719A9">
      <w:pPr>
        <w:spacing w:before="120"/>
        <w:rPr>
          <w:sz w:val="20"/>
        </w:rPr>
      </w:pPr>
      <w:r>
        <w:rPr>
          <w:b/>
          <w:sz w:val="20"/>
        </w:rPr>
        <w:t xml:space="preserve">1.4.4. </w:t>
      </w:r>
      <w:r>
        <w:rPr>
          <w:sz w:val="20"/>
        </w:rPr>
        <w:t>Znaki uzupełniające - znaki w postaci symboli, napisów, linii przystankowych oraz inne określające szczególne miejsca na nawierzchni.</w:t>
      </w:r>
    </w:p>
    <w:p w:rsidR="00C719A9" w:rsidRDefault="00C719A9">
      <w:pPr>
        <w:spacing w:before="120"/>
        <w:rPr>
          <w:sz w:val="20"/>
        </w:rPr>
      </w:pPr>
      <w:r>
        <w:rPr>
          <w:b/>
          <w:sz w:val="20"/>
        </w:rPr>
        <w:t xml:space="preserve">1.4.5. </w:t>
      </w:r>
      <w:r>
        <w:rPr>
          <w:sz w:val="20"/>
        </w:rPr>
        <w:t>Materiały do poziomego znakowania dróg - materiały zawierające rozpuszczalniki, wolne od rozpuszczalników lub punktowe elementy odblaskowe, które mogą zostać naniesione albo wbudowane przez malowanie, natryskiwanie, odlewanie, wytłaczanie, rolowanie, klejenie itp. na nawierzchnie drogowe, stosowane w temperaturze otoczenia lub w temperaturze podwyższonej. Materiały te powinny być retrorefleksyjne.</w:t>
      </w:r>
    </w:p>
    <w:p w:rsidR="00C719A9" w:rsidRDefault="00C719A9">
      <w:pPr>
        <w:spacing w:before="120"/>
        <w:rPr>
          <w:sz w:val="20"/>
        </w:rPr>
      </w:pPr>
      <w:r>
        <w:rPr>
          <w:b/>
          <w:sz w:val="20"/>
        </w:rPr>
        <w:t xml:space="preserve">1.4.6. </w:t>
      </w:r>
      <w:r>
        <w:rPr>
          <w:sz w:val="20"/>
        </w:rPr>
        <w:t>Kulki szklane - materiał do posypywania lub narzucania pod ciśnieniem na oznakowanie wykonane materiałami w stanie ciekłym, w celu uzyskania widzialności oznakowania w nocy.</w:t>
      </w:r>
    </w:p>
    <w:p w:rsidR="00C719A9" w:rsidRDefault="00C719A9">
      <w:pPr>
        <w:spacing w:before="120"/>
        <w:rPr>
          <w:sz w:val="20"/>
        </w:rPr>
      </w:pPr>
      <w:r>
        <w:rPr>
          <w:b/>
          <w:sz w:val="20"/>
        </w:rPr>
        <w:t xml:space="preserve">1.4.7. </w:t>
      </w:r>
      <w:r>
        <w:rPr>
          <w:sz w:val="20"/>
        </w:rPr>
        <w:t xml:space="preserve">Materiały do znakowania cienkowarstwowego - farby nakładane warstwą grubości od </w:t>
      </w:r>
      <w:smartTag w:uri="urn:schemas-microsoft-com:office:smarttags" w:element="metricconverter">
        <w:smartTagPr>
          <w:attr w:name="ProductID" w:val="0,3 mm"/>
        </w:smartTagPr>
        <w:r>
          <w:rPr>
            <w:sz w:val="20"/>
          </w:rPr>
          <w:t>0,3 mm</w:t>
        </w:r>
      </w:smartTag>
      <w:r>
        <w:rPr>
          <w:sz w:val="20"/>
        </w:rPr>
        <w:t xml:space="preserve"> do </w:t>
      </w:r>
      <w:smartTag w:uri="urn:schemas-microsoft-com:office:smarttags" w:element="metricconverter">
        <w:smartTagPr>
          <w:attr w:name="ProductID" w:val="0,8 mm"/>
        </w:smartTagPr>
        <w:r>
          <w:rPr>
            <w:sz w:val="20"/>
          </w:rPr>
          <w:t>0,8 mm</w:t>
        </w:r>
      </w:smartTag>
      <w:r>
        <w:rPr>
          <w:sz w:val="20"/>
        </w:rPr>
        <w:t>.</w:t>
      </w:r>
    </w:p>
    <w:p w:rsidR="00C719A9" w:rsidRDefault="00C719A9">
      <w:pPr>
        <w:spacing w:before="120"/>
        <w:rPr>
          <w:sz w:val="20"/>
        </w:rPr>
      </w:pPr>
      <w:r>
        <w:rPr>
          <w:b/>
          <w:sz w:val="20"/>
        </w:rPr>
        <w:t xml:space="preserve">1.4.8. </w:t>
      </w:r>
      <w:r>
        <w:rPr>
          <w:sz w:val="20"/>
        </w:rPr>
        <w:t>Materiał uszorstniający - kruszywo zapewniające oznakowaniu poziomemu właściwości antypoślizgowe.</w:t>
      </w:r>
    </w:p>
    <w:p w:rsidR="00C719A9" w:rsidRDefault="00C719A9">
      <w:pPr>
        <w:spacing w:before="120"/>
        <w:rPr>
          <w:sz w:val="20"/>
        </w:rPr>
      </w:pPr>
      <w:r>
        <w:rPr>
          <w:b/>
          <w:sz w:val="20"/>
        </w:rPr>
        <w:t xml:space="preserve">1.4.9. </w:t>
      </w:r>
      <w:r>
        <w:rPr>
          <w:sz w:val="20"/>
        </w:rPr>
        <w:t xml:space="preserve">Pozostałe określenia są zgodne z obowiązującymi, odpowiednimi polskimi normami i z definicjami podanymi w OST D-M-00.00.00 „Wymagania ogólne” pkt 1.4. </w:t>
      </w:r>
    </w:p>
    <w:p w:rsidR="00C719A9" w:rsidRDefault="00C719A9">
      <w:pPr>
        <w:pStyle w:val="Heading2"/>
      </w:pPr>
      <w:r>
        <w:t>1.5. Ogólne wymagania dotyczące robót</w:t>
      </w:r>
    </w:p>
    <w:p w:rsidR="00C719A9" w:rsidRDefault="00C719A9">
      <w:pPr>
        <w:pStyle w:val="BodyText"/>
      </w:pPr>
      <w:r>
        <w:tab/>
        <w:t>Ogólne wymagania dotyczące robót podano w OST D-M-00.00.00 „Wymagania ogólne” pkt 1.5.</w:t>
      </w:r>
    </w:p>
    <w:p w:rsidR="00C719A9" w:rsidRDefault="00C719A9">
      <w:pPr>
        <w:pStyle w:val="Heading1"/>
      </w:pPr>
      <w:r>
        <w:t>2. materiały</w:t>
      </w:r>
    </w:p>
    <w:p w:rsidR="00C719A9" w:rsidRDefault="00C719A9">
      <w:pPr>
        <w:pStyle w:val="Heading2"/>
      </w:pPr>
      <w:r>
        <w:t>2.1. Ogólne wymagania dotyczące materiałów</w:t>
      </w:r>
    </w:p>
    <w:p w:rsidR="00C719A9" w:rsidRDefault="00C719A9">
      <w:pPr>
        <w:pStyle w:val="BodyText"/>
      </w:pPr>
      <w:r>
        <w:tab/>
        <w:t>Ogólne wymagania dotyczące materiałów, ich pozyskiwania i składowania podano w OST D-M-00.00.00 „Wymagania ogólne” pkt 2.</w:t>
      </w:r>
    </w:p>
    <w:p w:rsidR="00C719A9" w:rsidRDefault="00C719A9">
      <w:pPr>
        <w:pStyle w:val="Heading2"/>
      </w:pPr>
      <w:r>
        <w:t>2.2. Dokument dopuszczający do stosowania materiałów</w:t>
      </w:r>
    </w:p>
    <w:p w:rsidR="00C719A9" w:rsidRDefault="00C719A9">
      <w:pPr>
        <w:pStyle w:val="BodyText"/>
      </w:pPr>
      <w:r>
        <w:tab/>
        <w:t>Każdy materiał używany przez Wykonawcę do poziomego znakowania dróg musi posiadać aprobatę techniczną.</w:t>
      </w:r>
    </w:p>
    <w:p w:rsidR="00C719A9" w:rsidRDefault="00C719A9">
      <w:pPr>
        <w:pStyle w:val="Heading2"/>
      </w:pPr>
      <w:r>
        <w:t>2.3. Badanie materiałów, których jakość budzi wątpliwość</w:t>
      </w:r>
    </w:p>
    <w:p w:rsidR="00C719A9" w:rsidRDefault="00C719A9">
      <w:pPr>
        <w:rPr>
          <w:sz w:val="20"/>
        </w:rPr>
      </w:pPr>
      <w:r>
        <w:rPr>
          <w:sz w:val="20"/>
        </w:rPr>
        <w:tab/>
        <w:t>Wykonawca powinien przeprowadzić dodatkowe badania tych materiałów, które budzą wątpliwości jego lub Inspektora Nadzoru, co do jakości, w celu stwierdzenia czy odpowiadają one wymaganiom określonym w punkcie 2. Badania te Wykonawca zleci IBDiM lub akredytowanemu laboratorium. Badania powinny być wykonane zgodnie z „Warunkami technicznymi POD-</w:t>
      </w:r>
      <w:smartTag w:uri="urn:schemas-microsoft-com:office:smarttags" w:element="metricconverter">
        <w:smartTagPr>
          <w:attr w:name="ProductID" w:val="97”"/>
        </w:smartTagPr>
        <w:r>
          <w:rPr>
            <w:sz w:val="20"/>
          </w:rPr>
          <w:t>97”</w:t>
        </w:r>
      </w:smartTag>
      <w:r>
        <w:rPr>
          <w:sz w:val="20"/>
        </w:rPr>
        <w:t xml:space="preserve"> [4].</w:t>
      </w:r>
    </w:p>
    <w:p w:rsidR="00C719A9" w:rsidRDefault="00C719A9">
      <w:pPr>
        <w:pStyle w:val="Heading2"/>
      </w:pPr>
      <w:r>
        <w:t>2.4. Oznakowanie opakowań</w:t>
      </w:r>
    </w:p>
    <w:p w:rsidR="00C719A9" w:rsidRDefault="00C719A9">
      <w:pPr>
        <w:pStyle w:val="BodyText"/>
      </w:pPr>
      <w:r>
        <w:tab/>
        <w:t>Wykonawca powinien żądać od producenta, aby oznakowanie opakowań materiałów do poziomego znakowania dróg było wykonane zgodnie z PN-O-79252 [2], a ponadto aby na każdym opakowaniu był umieszczony trwały napis zawierający:</w:t>
      </w:r>
    </w:p>
    <w:p w:rsidR="00C719A9" w:rsidRDefault="00C719A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nazwę producenta i materiału do znakowania dróg,</w:t>
      </w:r>
    </w:p>
    <w:p w:rsidR="00C719A9" w:rsidRDefault="00C719A9">
      <w:pPr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masę brutto i netto,</w:t>
      </w:r>
    </w:p>
    <w:p w:rsidR="00C719A9" w:rsidRDefault="00C719A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numer partii i datę produkcji,</w:t>
      </w:r>
    </w:p>
    <w:p w:rsidR="00C719A9" w:rsidRDefault="00C719A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informację o szkodliwości i klasie zagrożenia pożarowego,</w:t>
      </w:r>
    </w:p>
    <w:p w:rsidR="00C719A9" w:rsidRDefault="00C719A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ewentualne wskazówki dla użytkowników.</w:t>
      </w:r>
    </w:p>
    <w:p w:rsidR="00C719A9" w:rsidRDefault="00C719A9">
      <w:pPr>
        <w:pStyle w:val="Heading2"/>
      </w:pPr>
      <w:r>
        <w:t>2.5. Przepisy określające wymagania dla materiałów</w:t>
      </w:r>
    </w:p>
    <w:p w:rsidR="00C719A9" w:rsidRDefault="00C719A9">
      <w:pPr>
        <w:pStyle w:val="BodyText"/>
      </w:pPr>
      <w:r>
        <w:tab/>
        <w:t>Podstawowe wymagania dotyczące materiałów podano w punkcie 2.6, a szczegółowe wymagania określone są w „Warunkach technicznych POD-</w:t>
      </w:r>
      <w:smartTag w:uri="urn:schemas-microsoft-com:office:smarttags" w:element="metricconverter">
        <w:smartTagPr>
          <w:attr w:name="ProductID" w:val="97”"/>
        </w:smartTagPr>
        <w:r>
          <w:t>97”</w:t>
        </w:r>
      </w:smartTag>
      <w:r>
        <w:t xml:space="preserve"> [4].</w:t>
      </w:r>
    </w:p>
    <w:p w:rsidR="00C719A9" w:rsidRDefault="00C719A9">
      <w:pPr>
        <w:pStyle w:val="Heading2"/>
      </w:pPr>
      <w:r>
        <w:t>2.6. Wymagania wobec materiałów do poziomego znakowania dróg</w:t>
      </w:r>
    </w:p>
    <w:p w:rsidR="00C719A9" w:rsidRDefault="00C719A9">
      <w:pPr>
        <w:spacing w:after="120"/>
        <w:rPr>
          <w:sz w:val="20"/>
        </w:rPr>
      </w:pPr>
      <w:r>
        <w:rPr>
          <w:b/>
          <w:sz w:val="20"/>
        </w:rPr>
        <w:t xml:space="preserve">2.6.1. </w:t>
      </w:r>
      <w:r>
        <w:rPr>
          <w:sz w:val="20"/>
        </w:rPr>
        <w:t xml:space="preserve"> Materiały do znakowania cienkowarstwowego</w:t>
      </w:r>
    </w:p>
    <w:p w:rsidR="00C719A9" w:rsidRDefault="00C719A9">
      <w:pPr>
        <w:rPr>
          <w:sz w:val="20"/>
        </w:rPr>
      </w:pPr>
      <w:r>
        <w:rPr>
          <w:sz w:val="20"/>
        </w:rPr>
        <w:tab/>
        <w:t xml:space="preserve">Materiałami do znakowania cienkowarstwowego powinny być farby nakładane warstwą grubości </w:t>
      </w:r>
      <w:smartTag w:uri="urn:schemas-microsoft-com:office:smarttags" w:element="metricconverter">
        <w:smartTagPr>
          <w:attr w:name="ProductID" w:val="0,6 mm"/>
        </w:smartTagPr>
        <w:r>
          <w:rPr>
            <w:sz w:val="20"/>
          </w:rPr>
          <w:t>0,6 mm</w:t>
        </w:r>
      </w:smartTag>
      <w:r>
        <w:rPr>
          <w:sz w:val="20"/>
        </w:rPr>
        <w:t xml:space="preserve">  (na mokro). Powinny być nimi ciekłe produkty zawierające ciała stałe rozproszone w organicznym rozpuszczalniku lub wodzie, które mogą występować w układach jedno- lub wieloskładnikowych.</w:t>
      </w:r>
    </w:p>
    <w:p w:rsidR="00C719A9" w:rsidRDefault="00C719A9">
      <w:pPr>
        <w:rPr>
          <w:sz w:val="20"/>
        </w:rPr>
      </w:pPr>
      <w:r>
        <w:rPr>
          <w:sz w:val="20"/>
        </w:rPr>
        <w:tab/>
        <w:t xml:space="preserve"> Podczas nakładania farb, do znakowania cienkowarstwowego, na nawierzchnię pędzlem, wałkiem lub przez natrysk, powinny one tworzyć warstwę kohezyjną w procesie odparowania i/lub w procesie chemicznym.</w:t>
      </w:r>
    </w:p>
    <w:p w:rsidR="00C719A9" w:rsidRDefault="00C719A9">
      <w:pPr>
        <w:spacing w:after="120"/>
        <w:rPr>
          <w:sz w:val="20"/>
        </w:rPr>
      </w:pPr>
      <w:r>
        <w:rPr>
          <w:sz w:val="20"/>
        </w:rPr>
        <w:tab/>
        <w:t>Właściwości fizyczne materiałów do znakowania cienkowarstwowego określa aprobata techniczna odpowiadająca wymaganiom POD-97 [4].</w:t>
      </w:r>
    </w:p>
    <w:p w:rsidR="00C719A9" w:rsidRDefault="00C719A9">
      <w:pPr>
        <w:rPr>
          <w:sz w:val="20"/>
        </w:rPr>
      </w:pPr>
      <w:r>
        <w:rPr>
          <w:b/>
          <w:sz w:val="20"/>
        </w:rPr>
        <w:t xml:space="preserve">2.6.2. </w:t>
      </w:r>
      <w:r>
        <w:rPr>
          <w:sz w:val="20"/>
        </w:rPr>
        <w:t>Zawartość   składników   lotnych  w  materiałach   do  znakowania   cienkowarstwowego</w:t>
      </w:r>
    </w:p>
    <w:p w:rsidR="00C719A9" w:rsidRDefault="00C719A9">
      <w:pPr>
        <w:rPr>
          <w:sz w:val="20"/>
        </w:rPr>
      </w:pPr>
      <w:r>
        <w:rPr>
          <w:sz w:val="20"/>
        </w:rPr>
        <w:tab/>
        <w:t>Zawartość składników lotnych (rozpuszczalników organicznych) nie powinna przekraczać w materiałach do znakowania:</w:t>
      </w:r>
    </w:p>
    <w:p w:rsidR="00C719A9" w:rsidRDefault="00C719A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cienkowarstwowego 30% (m/m),</w:t>
      </w:r>
    </w:p>
    <w:p w:rsidR="00C719A9" w:rsidRDefault="00C719A9">
      <w:pPr>
        <w:rPr>
          <w:sz w:val="20"/>
        </w:rPr>
      </w:pPr>
      <w:r>
        <w:rPr>
          <w:sz w:val="20"/>
        </w:rPr>
        <w:tab/>
        <w:t>Nie dopuszcza się stosowania materiałów zawierających rozpuszczalnik aromatyczny (jak np. toluen, ksylen) w ilości większej niż 10%. Nie dopuszcza się stosowania materiałów zawierających benzen i rozpuszczalniki chlorowane.</w:t>
      </w:r>
    </w:p>
    <w:p w:rsidR="00C719A9" w:rsidRDefault="00C719A9">
      <w:pPr>
        <w:spacing w:before="120"/>
        <w:rPr>
          <w:sz w:val="20"/>
        </w:rPr>
      </w:pPr>
      <w:r>
        <w:rPr>
          <w:b/>
          <w:sz w:val="20"/>
        </w:rPr>
        <w:t xml:space="preserve">2.6.3. </w:t>
      </w:r>
      <w:r>
        <w:rPr>
          <w:sz w:val="20"/>
        </w:rPr>
        <w:t>Kulki szklane</w:t>
      </w:r>
    </w:p>
    <w:p w:rsidR="00C719A9" w:rsidRDefault="00C719A9">
      <w:pPr>
        <w:rPr>
          <w:sz w:val="20"/>
        </w:rPr>
      </w:pPr>
      <w:r>
        <w:rPr>
          <w:sz w:val="20"/>
        </w:rPr>
        <w:tab/>
        <w:t>Materiały w postaci kulek szklanych refleksyjnych do posypywania lub narzucania pod ciśnieniem na materiały do oznakowania powinny zapewniać widzialność w nocy poprzez odbicie powrotne w kierunku pojazdu wiązki światła wysyłanej przez reflektory pojazdu.</w:t>
      </w:r>
    </w:p>
    <w:p w:rsidR="00C719A9" w:rsidRDefault="00C719A9">
      <w:pPr>
        <w:rPr>
          <w:sz w:val="20"/>
        </w:rPr>
      </w:pPr>
      <w:r>
        <w:rPr>
          <w:sz w:val="20"/>
        </w:rPr>
        <w:t>Kulki szklane powinny charakteryzować się współczynnikiem załamania powyżej 1,50, wykazywać odporność na wodę i zawierać nie więcej niż 20% kulek z defektami.</w:t>
      </w:r>
    </w:p>
    <w:p w:rsidR="00C719A9" w:rsidRDefault="00C719A9">
      <w:pPr>
        <w:rPr>
          <w:sz w:val="20"/>
        </w:rPr>
      </w:pPr>
      <w:r>
        <w:rPr>
          <w:sz w:val="20"/>
        </w:rPr>
        <w:t>Kulki szklane hydrofobizowane powinny ponadto wykazywać stopień hydrofobizacji co najmniej 80%.</w:t>
      </w:r>
    </w:p>
    <w:p w:rsidR="00C719A9" w:rsidRDefault="00C719A9">
      <w:pPr>
        <w:rPr>
          <w:sz w:val="20"/>
        </w:rPr>
      </w:pPr>
      <w:r>
        <w:rPr>
          <w:sz w:val="20"/>
        </w:rPr>
        <w:t>Właściwości kulek szklanych określa aprobata techniczna, odpowiadająca wymaganiom POD-97 [4].</w:t>
      </w:r>
    </w:p>
    <w:p w:rsidR="00C719A9" w:rsidRDefault="00C719A9">
      <w:pPr>
        <w:spacing w:before="120"/>
        <w:rPr>
          <w:sz w:val="20"/>
        </w:rPr>
      </w:pPr>
      <w:r>
        <w:rPr>
          <w:b/>
          <w:sz w:val="20"/>
        </w:rPr>
        <w:t xml:space="preserve">2.6.4. </w:t>
      </w:r>
      <w:r>
        <w:rPr>
          <w:sz w:val="20"/>
        </w:rPr>
        <w:t>Wymagania wobec materiałów ze względu na ochronę warunków pracy i środowiska</w:t>
      </w:r>
    </w:p>
    <w:p w:rsidR="00C719A9" w:rsidRDefault="00C719A9">
      <w:pPr>
        <w:spacing w:before="120"/>
        <w:rPr>
          <w:sz w:val="20"/>
        </w:rPr>
      </w:pPr>
      <w:r>
        <w:rPr>
          <w:sz w:val="20"/>
        </w:rPr>
        <w:tab/>
        <w:t>Materiały stosowane do znakowania nawierzchni nie powinny zawierać substancji zagrażających zdrowiu ludzi i powodujących skażenie środowiska.</w:t>
      </w:r>
    </w:p>
    <w:p w:rsidR="00C719A9" w:rsidRDefault="00C719A9">
      <w:pPr>
        <w:spacing w:before="120"/>
        <w:rPr>
          <w:sz w:val="20"/>
        </w:rPr>
      </w:pPr>
      <w:r>
        <w:rPr>
          <w:b/>
          <w:sz w:val="20"/>
        </w:rPr>
        <w:t xml:space="preserve">2.6.5. </w:t>
      </w:r>
      <w:r>
        <w:rPr>
          <w:sz w:val="20"/>
        </w:rPr>
        <w:t>Materiały do znakowania grubowarstwowego strukturalnego regularnego.</w:t>
      </w:r>
    </w:p>
    <w:p w:rsidR="00C719A9" w:rsidRDefault="00C719A9">
      <w:pPr>
        <w:rPr>
          <w:sz w:val="20"/>
        </w:rPr>
      </w:pPr>
      <w:r>
        <w:rPr>
          <w:sz w:val="20"/>
        </w:rPr>
        <w:t xml:space="preserve">Materiałami do znakowania grubowarstwowego powinny być masy chemoutwardzalne  nakładane mechanicznie warstwą grubości minimum </w:t>
      </w:r>
      <w:smartTag w:uri="urn:schemas-microsoft-com:office:smarttags" w:element="metricconverter">
        <w:smartTagPr>
          <w:attr w:name="ProductID" w:val="5,0 mm"/>
        </w:smartTagPr>
        <w:r>
          <w:rPr>
            <w:sz w:val="20"/>
          </w:rPr>
          <w:t>5,0 mm</w:t>
        </w:r>
      </w:smartTag>
      <w:r>
        <w:rPr>
          <w:sz w:val="20"/>
        </w:rPr>
        <w:t xml:space="preserve"> (na mokro). Drobne elementy typu symbole mogą być wykonywane ręcznie lub przy użyciu urządzeń typu „ Plastomer”.  W celu zapewnienia dobrej widoczności w nocy na naniesioną warstwę masy (do 10 sekund od nałożenia) winny być aplikowane kulki szklane. </w:t>
      </w:r>
    </w:p>
    <w:p w:rsidR="00C719A9" w:rsidRDefault="00C719A9">
      <w:pPr>
        <w:rPr>
          <w:sz w:val="20"/>
        </w:rPr>
      </w:pPr>
      <w:r>
        <w:rPr>
          <w:sz w:val="20"/>
        </w:rPr>
        <w:tab/>
        <w:t xml:space="preserve"> </w:t>
      </w:r>
    </w:p>
    <w:p w:rsidR="00C719A9" w:rsidRDefault="00C719A9">
      <w:pPr>
        <w:pStyle w:val="Heading2"/>
      </w:pPr>
      <w:r>
        <w:t>2.7. Przechowywanie i składowanie materiałów</w:t>
      </w:r>
    </w:p>
    <w:p w:rsidR="00C719A9" w:rsidRDefault="00C719A9">
      <w:pPr>
        <w:rPr>
          <w:sz w:val="20"/>
        </w:rPr>
      </w:pPr>
      <w:r>
        <w:rPr>
          <w:sz w:val="20"/>
        </w:rPr>
        <w:tab/>
        <w:t>Materiały do znakowania cienkowarstwowego nawierzchni powinny zachować stałość swoich właściwości chemicznych i fizykochemicznych przez okres co najmniej 6 miesięcy składowania w warunkach określonych przez producenta.</w:t>
      </w:r>
    </w:p>
    <w:p w:rsidR="00C719A9" w:rsidRDefault="00C719A9">
      <w:pPr>
        <w:pStyle w:val="BodyText"/>
      </w:pPr>
      <w:r>
        <w:tab/>
        <w:t>Materiały do poziomego znakowania dróg należy przechowywać w magazynach odpowiadających zaleceniom producenta, zwłaszcza zabezpieczających je od napromieniowania słonecznego, opadów i w temperaturze, dla:</w:t>
      </w:r>
    </w:p>
    <w:p w:rsidR="00C719A9" w:rsidRDefault="00C719A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farb wodorozcieńczalnych od 5</w:t>
      </w:r>
      <w:r>
        <w:rPr>
          <w:sz w:val="20"/>
          <w:vertAlign w:val="superscript"/>
        </w:rPr>
        <w:t>o</w:t>
      </w:r>
      <w:r>
        <w:rPr>
          <w:sz w:val="20"/>
        </w:rPr>
        <w:t xml:space="preserve"> do 40</w:t>
      </w:r>
      <w:r>
        <w:rPr>
          <w:sz w:val="20"/>
          <w:vertAlign w:val="superscript"/>
        </w:rPr>
        <w:t>o</w:t>
      </w:r>
      <w:r>
        <w:rPr>
          <w:sz w:val="20"/>
        </w:rPr>
        <w:t>C,</w:t>
      </w:r>
    </w:p>
    <w:p w:rsidR="00C719A9" w:rsidRDefault="00C719A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farb rozpuszczalnikowych od 0</w:t>
      </w:r>
      <w:r>
        <w:rPr>
          <w:sz w:val="20"/>
          <w:vertAlign w:val="superscript"/>
        </w:rPr>
        <w:t>o</w:t>
      </w:r>
      <w:r>
        <w:rPr>
          <w:sz w:val="20"/>
        </w:rPr>
        <w:t xml:space="preserve"> do 25</w:t>
      </w:r>
      <w:r>
        <w:rPr>
          <w:sz w:val="20"/>
          <w:vertAlign w:val="superscript"/>
        </w:rPr>
        <w:t>o</w:t>
      </w:r>
      <w:r>
        <w:rPr>
          <w:sz w:val="20"/>
        </w:rPr>
        <w:t>C,</w:t>
      </w:r>
    </w:p>
    <w:p w:rsidR="00C719A9" w:rsidRDefault="00C719A9">
      <w:pPr>
        <w:numPr>
          <w:ilvl w:val="0"/>
          <w:numId w:val="2"/>
        </w:numPr>
        <w:spacing w:after="120"/>
        <w:ind w:left="284" w:hanging="284"/>
        <w:rPr>
          <w:sz w:val="20"/>
        </w:rPr>
      </w:pPr>
      <w:r>
        <w:rPr>
          <w:sz w:val="20"/>
        </w:rPr>
        <w:t>pozostałych materiałów - poniżej 40</w:t>
      </w:r>
      <w:r>
        <w:rPr>
          <w:sz w:val="20"/>
          <w:vertAlign w:val="superscript"/>
        </w:rPr>
        <w:t>o</w:t>
      </w:r>
      <w:r>
        <w:rPr>
          <w:sz w:val="20"/>
        </w:rPr>
        <w:t>C.</w:t>
      </w:r>
    </w:p>
    <w:p w:rsidR="00C719A9" w:rsidRDefault="00C719A9">
      <w:pPr>
        <w:pStyle w:val="Heading1"/>
      </w:pPr>
      <w:bookmarkStart w:id="4" w:name="_Toc420816682"/>
      <w:r>
        <w:t>3. sprzęt</w:t>
      </w:r>
      <w:bookmarkEnd w:id="4"/>
    </w:p>
    <w:p w:rsidR="00C719A9" w:rsidRDefault="00C719A9">
      <w:pPr>
        <w:pStyle w:val="Heading2"/>
      </w:pPr>
      <w:r>
        <w:t>3.1. Ogólne wymagania dotyczące sprzętu</w:t>
      </w:r>
    </w:p>
    <w:p w:rsidR="00C719A9" w:rsidRDefault="00C719A9">
      <w:pPr>
        <w:rPr>
          <w:sz w:val="20"/>
        </w:rPr>
      </w:pPr>
      <w:r>
        <w:rPr>
          <w:sz w:val="20"/>
        </w:rPr>
        <w:tab/>
        <w:t>Ogólne wymagania dotyczące sprzętu podano w OST D-M-00.00.00 „Wymagania ogólne” pkt 3.</w:t>
      </w:r>
    </w:p>
    <w:p w:rsidR="00C719A9" w:rsidRDefault="00C719A9">
      <w:pPr>
        <w:pStyle w:val="Heading2"/>
      </w:pPr>
      <w:r>
        <w:t>3.2. Sprzęt do wykonania oznakowania poziomego</w:t>
      </w:r>
    </w:p>
    <w:p w:rsidR="00C719A9" w:rsidRDefault="00C719A9">
      <w:pPr>
        <w:rPr>
          <w:sz w:val="20"/>
        </w:rPr>
      </w:pPr>
      <w:r>
        <w:rPr>
          <w:sz w:val="20"/>
        </w:rPr>
        <w:t>Wykonawca przystępujący do wykonania oznakowania poziomego, w zależności od zakresu robót, powinien wykazać się możliwością korzystania z następującego sprzętu, zaakceptowanego przez Inspektora Nadzoru :</w:t>
      </w:r>
    </w:p>
    <w:p w:rsidR="00C719A9" w:rsidRDefault="00C719A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frezarki,</w:t>
      </w:r>
    </w:p>
    <w:p w:rsidR="00C719A9" w:rsidRDefault="00C719A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malowarki,</w:t>
      </w:r>
    </w:p>
    <w:p w:rsidR="00C719A9" w:rsidRDefault="00C719A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układarka do mas chemoutwardzalnych,</w:t>
      </w:r>
    </w:p>
    <w:p w:rsidR="00C719A9" w:rsidRDefault="00C719A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szczotka mechaniczna,</w:t>
      </w:r>
    </w:p>
    <w:p w:rsidR="00C719A9" w:rsidRDefault="00C719A9">
      <w:pPr>
        <w:pStyle w:val="Heading1"/>
      </w:pPr>
      <w:bookmarkStart w:id="5" w:name="_Toc420816683"/>
      <w:r>
        <w:t>4. transport</w:t>
      </w:r>
      <w:bookmarkEnd w:id="5"/>
    </w:p>
    <w:p w:rsidR="00C719A9" w:rsidRDefault="00C719A9">
      <w:pPr>
        <w:pStyle w:val="Heading2"/>
      </w:pPr>
      <w:r>
        <w:t>4.1. Ogólne wymagania dotyczące transportu</w:t>
      </w:r>
    </w:p>
    <w:p w:rsidR="00C719A9" w:rsidRDefault="00C719A9">
      <w:pPr>
        <w:rPr>
          <w:sz w:val="20"/>
        </w:rPr>
      </w:pPr>
      <w:r>
        <w:rPr>
          <w:sz w:val="20"/>
        </w:rPr>
        <w:t>Ogólne wymagania dotyczące transportu podano w OST D-M-00.00.00 „Wymagania ogólne” pkt 4.</w:t>
      </w:r>
    </w:p>
    <w:p w:rsidR="00C719A9" w:rsidRDefault="00C719A9">
      <w:pPr>
        <w:pStyle w:val="Heading2"/>
      </w:pPr>
      <w:r>
        <w:t>4.2. Przewóz materiałów do poziomego znakowania dróg</w:t>
      </w:r>
    </w:p>
    <w:p w:rsidR="00C719A9" w:rsidRDefault="00C719A9">
      <w:pPr>
        <w:rPr>
          <w:sz w:val="20"/>
        </w:rPr>
      </w:pPr>
      <w:r>
        <w:rPr>
          <w:sz w:val="20"/>
        </w:rPr>
        <w:t xml:space="preserve">Materiały do poziomego znakowania dróg należy przewozić w pojemnikach zapewniających szczelność, bezpieczny transport i zachowanie wymaganych właściwości materiałów. Pojemniki powinny być oznakowane zgodnie z normą PN-O-79252 [2]. </w:t>
      </w:r>
    </w:p>
    <w:p w:rsidR="00C719A9" w:rsidRDefault="00C719A9">
      <w:pPr>
        <w:pStyle w:val="BodyText"/>
        <w:spacing w:after="120"/>
      </w:pPr>
      <w:r>
        <w:t>Materiały do znakowania poziomego należy przewozić krytymi środkami transportowymi, chroniąc opakowania przed uszkodzeniem mechanicznym, zgodnie z PN-C-81400 [1] oraz zgodnie z prawem przewozowym.</w:t>
      </w:r>
    </w:p>
    <w:p w:rsidR="00C719A9" w:rsidRDefault="00C719A9">
      <w:pPr>
        <w:shd w:val="clear" w:color="auto" w:fill="FFFFFF"/>
        <w:tabs>
          <w:tab w:val="left" w:pos="206"/>
        </w:tabs>
        <w:spacing w:before="226"/>
        <w:rPr>
          <w:sz w:val="20"/>
        </w:rPr>
      </w:pPr>
      <w:r>
        <w:rPr>
          <w:b/>
          <w:bCs/>
          <w:sz w:val="20"/>
          <w:szCs w:val="18"/>
        </w:rPr>
        <w:t>5.</w:t>
      </w:r>
      <w:r>
        <w:rPr>
          <w:b/>
          <w:bCs/>
          <w:sz w:val="20"/>
          <w:szCs w:val="18"/>
        </w:rPr>
        <w:tab/>
        <w:t>WYKONANIE ROBÓT</w:t>
      </w:r>
    </w:p>
    <w:p w:rsidR="00C719A9" w:rsidRDefault="00C719A9">
      <w:pPr>
        <w:shd w:val="clear" w:color="auto" w:fill="FFFFFF"/>
        <w:tabs>
          <w:tab w:val="left" w:pos="365"/>
        </w:tabs>
        <w:spacing w:before="134" w:line="331" w:lineRule="exact"/>
        <w:rPr>
          <w:sz w:val="20"/>
        </w:rPr>
      </w:pPr>
      <w:r>
        <w:rPr>
          <w:b/>
          <w:bCs/>
          <w:sz w:val="20"/>
          <w:szCs w:val="18"/>
        </w:rPr>
        <w:t>5.1.</w:t>
      </w:r>
      <w:r>
        <w:rPr>
          <w:b/>
          <w:bCs/>
          <w:sz w:val="20"/>
          <w:szCs w:val="18"/>
        </w:rPr>
        <w:tab/>
        <w:t>Ogólne zasady wykonania robót</w:t>
      </w:r>
    </w:p>
    <w:p w:rsidR="00C719A9" w:rsidRDefault="00C719A9">
      <w:pPr>
        <w:shd w:val="clear" w:color="auto" w:fill="FFFFFF"/>
        <w:spacing w:line="331" w:lineRule="exact"/>
        <w:rPr>
          <w:sz w:val="20"/>
        </w:rPr>
      </w:pPr>
      <w:r>
        <w:rPr>
          <w:sz w:val="20"/>
          <w:szCs w:val="18"/>
        </w:rPr>
        <w:t>Ogólne zasady wykonania robót podano w SST D-M-00.00.00 „Wymagania ogólne” pkt 5.</w:t>
      </w:r>
    </w:p>
    <w:p w:rsidR="00C719A9" w:rsidRDefault="00C719A9">
      <w:pPr>
        <w:shd w:val="clear" w:color="auto" w:fill="FFFFFF"/>
        <w:tabs>
          <w:tab w:val="left" w:pos="365"/>
        </w:tabs>
        <w:spacing w:line="331" w:lineRule="exact"/>
        <w:rPr>
          <w:sz w:val="20"/>
        </w:rPr>
      </w:pPr>
      <w:r>
        <w:rPr>
          <w:b/>
          <w:bCs/>
          <w:sz w:val="20"/>
          <w:szCs w:val="18"/>
        </w:rPr>
        <w:t>5.2.</w:t>
      </w:r>
      <w:r>
        <w:rPr>
          <w:b/>
          <w:bCs/>
          <w:sz w:val="20"/>
          <w:szCs w:val="18"/>
        </w:rPr>
        <w:tab/>
        <w:t>Warunki atmosferyczne</w:t>
      </w:r>
    </w:p>
    <w:p w:rsidR="00C719A9" w:rsidRDefault="00C719A9">
      <w:pPr>
        <w:shd w:val="clear" w:color="auto" w:fill="FFFFFF"/>
        <w:spacing w:before="91" w:line="211" w:lineRule="exact"/>
        <w:ind w:right="5"/>
        <w:jc w:val="both"/>
        <w:rPr>
          <w:sz w:val="20"/>
        </w:rPr>
      </w:pPr>
      <w:r>
        <w:rPr>
          <w:sz w:val="20"/>
          <w:szCs w:val="18"/>
        </w:rPr>
        <w:t>W czasie wykonywania oznakowania temperatura nawierzchni i powietrza powinna wynosić co najmniej 5</w:t>
      </w:r>
      <w:r>
        <w:rPr>
          <w:sz w:val="20"/>
          <w:szCs w:val="18"/>
          <w:vertAlign w:val="superscript"/>
        </w:rPr>
        <w:t>o</w:t>
      </w:r>
      <w:r>
        <w:rPr>
          <w:sz w:val="20"/>
          <w:szCs w:val="18"/>
        </w:rPr>
        <w:t>C, a wilgotność względna powietrza powinna być zgodna z zaleceniami producenta lub wynosić co najwyżej 85%.</w:t>
      </w:r>
    </w:p>
    <w:p w:rsidR="00C719A9" w:rsidRDefault="00C719A9">
      <w:pPr>
        <w:shd w:val="clear" w:color="auto" w:fill="FFFFFF"/>
        <w:tabs>
          <w:tab w:val="left" w:pos="365"/>
        </w:tabs>
        <w:spacing w:before="115"/>
        <w:rPr>
          <w:sz w:val="20"/>
        </w:rPr>
      </w:pPr>
      <w:r>
        <w:rPr>
          <w:b/>
          <w:bCs/>
          <w:sz w:val="20"/>
          <w:szCs w:val="18"/>
        </w:rPr>
        <w:t>5.3.</w:t>
      </w:r>
      <w:r>
        <w:rPr>
          <w:b/>
          <w:bCs/>
          <w:sz w:val="20"/>
          <w:szCs w:val="18"/>
        </w:rPr>
        <w:tab/>
        <w:t>Jednorodno</w:t>
      </w:r>
      <w:r>
        <w:rPr>
          <w:sz w:val="20"/>
          <w:szCs w:val="18"/>
        </w:rPr>
        <w:t xml:space="preserve">ść </w:t>
      </w:r>
      <w:r>
        <w:rPr>
          <w:b/>
          <w:bCs/>
          <w:sz w:val="20"/>
          <w:szCs w:val="18"/>
        </w:rPr>
        <w:t>nawierzchni znakowanej</w:t>
      </w:r>
    </w:p>
    <w:p w:rsidR="00C719A9" w:rsidRDefault="00C719A9">
      <w:pPr>
        <w:shd w:val="clear" w:color="auto" w:fill="FFFFFF"/>
        <w:spacing w:before="110" w:line="216" w:lineRule="exact"/>
        <w:ind w:right="5"/>
        <w:jc w:val="both"/>
        <w:rPr>
          <w:sz w:val="20"/>
        </w:rPr>
      </w:pPr>
      <w:r>
        <w:rPr>
          <w:sz w:val="20"/>
          <w:szCs w:val="18"/>
        </w:rPr>
        <w:t>Poprawność wykonania znakowania wymaga jednorodności nawierzchni znakowanej. Nierównomierności i/albo miejsca łatania nawierzchni, które nie wyróżniają się od starej nawierzchni i nie mają większego rozmiaru niż 15% powierzchni znakowanej, uznaje się za powierzchnie jednorodne.</w:t>
      </w:r>
    </w:p>
    <w:p w:rsidR="00C719A9" w:rsidRDefault="00C719A9">
      <w:pPr>
        <w:shd w:val="clear" w:color="auto" w:fill="FFFFFF"/>
        <w:tabs>
          <w:tab w:val="left" w:pos="365"/>
        </w:tabs>
        <w:spacing w:before="110"/>
        <w:rPr>
          <w:sz w:val="20"/>
        </w:rPr>
      </w:pPr>
      <w:r>
        <w:rPr>
          <w:b/>
          <w:bCs/>
          <w:sz w:val="20"/>
          <w:szCs w:val="18"/>
        </w:rPr>
        <w:t>5.4.</w:t>
      </w:r>
      <w:r>
        <w:rPr>
          <w:b/>
          <w:bCs/>
          <w:sz w:val="20"/>
          <w:szCs w:val="18"/>
        </w:rPr>
        <w:tab/>
        <w:t>Przygotowanie podło</w:t>
      </w:r>
      <w:r>
        <w:rPr>
          <w:sz w:val="20"/>
          <w:szCs w:val="18"/>
        </w:rPr>
        <w:t>ż</w:t>
      </w:r>
      <w:r>
        <w:rPr>
          <w:b/>
          <w:bCs/>
          <w:sz w:val="20"/>
          <w:szCs w:val="18"/>
        </w:rPr>
        <w:t>a do wykonania znakowania</w:t>
      </w:r>
    </w:p>
    <w:p w:rsidR="00C719A9" w:rsidRDefault="00C719A9">
      <w:pPr>
        <w:shd w:val="clear" w:color="auto" w:fill="FFFFFF"/>
        <w:spacing w:before="115" w:line="211" w:lineRule="exact"/>
        <w:ind w:right="5"/>
        <w:jc w:val="both"/>
        <w:rPr>
          <w:sz w:val="20"/>
        </w:rPr>
      </w:pPr>
      <w:r>
        <w:rPr>
          <w:sz w:val="20"/>
          <w:szCs w:val="18"/>
        </w:rPr>
        <w:t>Przed wykonaniem znakowania poziomego należy oczyścić powierzchnię nawierzchni malowanej z pyłu, kurzu, piasku, smarów, olejów i innych zanieczyszczeń, przy użyciu sprzętu wymienionego w niniejszej SST i zaakceptowanego przez Inżyniera.</w:t>
      </w:r>
    </w:p>
    <w:p w:rsidR="00C719A9" w:rsidRDefault="00C719A9">
      <w:pPr>
        <w:shd w:val="clear" w:color="auto" w:fill="FFFFFF"/>
        <w:spacing w:line="211" w:lineRule="exact"/>
        <w:ind w:right="5"/>
        <w:jc w:val="both"/>
        <w:rPr>
          <w:sz w:val="20"/>
        </w:rPr>
      </w:pPr>
      <w:r>
        <w:rPr>
          <w:sz w:val="20"/>
          <w:szCs w:val="18"/>
        </w:rPr>
        <w:t>Powierzchnia nawierzchni przygotowana do wykonania oznakowania poziomego musi być czysta i sucha.</w:t>
      </w:r>
    </w:p>
    <w:p w:rsidR="00C719A9" w:rsidRDefault="00C719A9">
      <w:pPr>
        <w:shd w:val="clear" w:color="auto" w:fill="FFFFFF"/>
        <w:tabs>
          <w:tab w:val="left" w:pos="365"/>
        </w:tabs>
        <w:spacing w:before="110"/>
        <w:rPr>
          <w:sz w:val="20"/>
        </w:rPr>
      </w:pPr>
      <w:r>
        <w:rPr>
          <w:b/>
          <w:bCs/>
          <w:sz w:val="20"/>
          <w:szCs w:val="18"/>
        </w:rPr>
        <w:t>5.5.</w:t>
      </w:r>
      <w:r>
        <w:rPr>
          <w:b/>
          <w:bCs/>
          <w:sz w:val="20"/>
          <w:szCs w:val="18"/>
        </w:rPr>
        <w:tab/>
        <w:t>Przedznakowanie</w:t>
      </w:r>
    </w:p>
    <w:p w:rsidR="00C719A9" w:rsidRDefault="00C719A9">
      <w:pPr>
        <w:shd w:val="clear" w:color="auto" w:fill="FFFFFF"/>
        <w:spacing w:before="115" w:line="211" w:lineRule="exact"/>
        <w:ind w:right="5"/>
        <w:jc w:val="both"/>
        <w:rPr>
          <w:sz w:val="20"/>
        </w:rPr>
      </w:pPr>
      <w:r>
        <w:rPr>
          <w:sz w:val="20"/>
          <w:szCs w:val="18"/>
        </w:rPr>
        <w:t>W celu dokładnego wykonania poziomego oznakowania drogi, można wykonać przedznakowanie, stosując się do ustaleń zawartych w załączniku nr 2 do rozporządzenia Ministra Infrastruktury z dnia 3 lipca 2003 r. w sprawie szczegółowych warunków technicznych dla znaków i sygnałów drogowych oraz urządzeń bezpieczeństwa ruchu drogowego i warunków ich umieszczania na drogach [3] i wskazaniach Inżyniera.</w:t>
      </w:r>
    </w:p>
    <w:p w:rsidR="00C719A9" w:rsidRDefault="00C719A9">
      <w:pPr>
        <w:shd w:val="clear" w:color="auto" w:fill="FFFFFF"/>
        <w:spacing w:line="211" w:lineRule="exact"/>
        <w:ind w:right="5"/>
        <w:jc w:val="both"/>
        <w:rPr>
          <w:sz w:val="20"/>
        </w:rPr>
      </w:pPr>
      <w:r>
        <w:rPr>
          <w:sz w:val="20"/>
          <w:szCs w:val="18"/>
        </w:rPr>
        <w:t>Do wykonania przedznakowania można stosować nietrwałą farbę, np. farbę silnie rozcieńczoną rozpuszczalnikiem. Zaleca się wykonywanie przed znakowania w postaci cienkich linii lub kropek. Początek i koniec znakowania należy zaznaczyć małą kreską poprzeczną.</w:t>
      </w:r>
    </w:p>
    <w:p w:rsidR="00C719A9" w:rsidRDefault="00C719A9">
      <w:pPr>
        <w:shd w:val="clear" w:color="auto" w:fill="FFFFFF"/>
        <w:spacing w:before="144" w:line="211" w:lineRule="exact"/>
        <w:ind w:right="346"/>
        <w:jc w:val="both"/>
        <w:rPr>
          <w:sz w:val="20"/>
        </w:rPr>
      </w:pPr>
      <w:r>
        <w:rPr>
          <w:sz w:val="20"/>
          <w:szCs w:val="18"/>
        </w:rPr>
        <w:t>W przypadku odnawiania znakowania drogi, gdy stare znakowanie jest wystarczająco czytelne i zgodne z dokumentacją projektową, można przedznakowania nie wykonywać.</w:t>
      </w:r>
    </w:p>
    <w:p w:rsidR="00C719A9" w:rsidRDefault="00C719A9">
      <w:pPr>
        <w:shd w:val="clear" w:color="auto" w:fill="FFFFFF"/>
        <w:tabs>
          <w:tab w:val="left" w:pos="360"/>
        </w:tabs>
        <w:spacing w:before="115"/>
        <w:rPr>
          <w:sz w:val="20"/>
        </w:rPr>
      </w:pPr>
      <w:r>
        <w:rPr>
          <w:b/>
          <w:bCs/>
          <w:sz w:val="20"/>
          <w:szCs w:val="18"/>
        </w:rPr>
        <w:t>5.6.</w:t>
      </w:r>
      <w:r>
        <w:rPr>
          <w:b/>
          <w:bCs/>
          <w:sz w:val="20"/>
          <w:szCs w:val="18"/>
        </w:rPr>
        <w:tab/>
        <w:t>Wykonanie znakowania drogi</w:t>
      </w:r>
    </w:p>
    <w:p w:rsidR="00C719A9" w:rsidRDefault="00C719A9">
      <w:pPr>
        <w:shd w:val="clear" w:color="auto" w:fill="FFFFFF"/>
        <w:tabs>
          <w:tab w:val="left" w:pos="518"/>
        </w:tabs>
        <w:spacing w:before="115"/>
        <w:rPr>
          <w:sz w:val="20"/>
        </w:rPr>
      </w:pPr>
      <w:r>
        <w:rPr>
          <w:b/>
          <w:bCs/>
          <w:sz w:val="20"/>
          <w:szCs w:val="18"/>
        </w:rPr>
        <w:t>5.6.1.</w:t>
      </w:r>
      <w:r>
        <w:rPr>
          <w:b/>
          <w:bCs/>
          <w:sz w:val="20"/>
          <w:szCs w:val="18"/>
        </w:rPr>
        <w:tab/>
      </w:r>
      <w:r>
        <w:rPr>
          <w:sz w:val="20"/>
          <w:szCs w:val="18"/>
        </w:rPr>
        <w:t>Dostarczenie materiałów i spełnienie zaleceń producenta materiałów</w:t>
      </w:r>
    </w:p>
    <w:p w:rsidR="00C719A9" w:rsidRDefault="00C719A9">
      <w:pPr>
        <w:shd w:val="clear" w:color="auto" w:fill="FFFFFF"/>
        <w:spacing w:before="115"/>
        <w:ind w:right="346"/>
        <w:jc w:val="both"/>
        <w:rPr>
          <w:sz w:val="20"/>
          <w:szCs w:val="18"/>
        </w:rPr>
      </w:pPr>
      <w:r>
        <w:rPr>
          <w:sz w:val="20"/>
          <w:szCs w:val="18"/>
        </w:rPr>
        <w:t>Materiały do znakowania drogi, spełniające wymagania podane w punkcie 2, powinny być dostarczone w oryginalnych opakowaniach handlowych i stosowane zgodnie z zaleceniami: SST, producenta oraz wymaganiami znajdującymi się w aprobacie technicznej.</w:t>
      </w:r>
    </w:p>
    <w:p w:rsidR="00C719A9" w:rsidRDefault="00C719A9">
      <w:pPr>
        <w:shd w:val="clear" w:color="auto" w:fill="FFFFFF"/>
        <w:spacing w:before="115"/>
        <w:ind w:right="346"/>
        <w:jc w:val="both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5.6.2. </w:t>
      </w:r>
      <w:r>
        <w:rPr>
          <w:sz w:val="20"/>
          <w:szCs w:val="18"/>
        </w:rPr>
        <w:t>Wykonanie znakowania drogi materiałami cienkowarstwowymi</w:t>
      </w:r>
    </w:p>
    <w:p w:rsidR="00C719A9" w:rsidRDefault="00C719A9">
      <w:pPr>
        <w:shd w:val="clear" w:color="auto" w:fill="FFFFFF"/>
        <w:spacing w:before="115" w:line="211" w:lineRule="exact"/>
        <w:ind w:right="346"/>
        <w:jc w:val="both"/>
        <w:rPr>
          <w:sz w:val="20"/>
        </w:rPr>
      </w:pPr>
      <w:r>
        <w:rPr>
          <w:sz w:val="20"/>
          <w:szCs w:val="18"/>
        </w:rPr>
        <w:t xml:space="preserve"> Wykonanie znakowania powinno być zgodne z zaleceniami producenta materiałów, a w przypadku ich braku lub niepełnych danych - zgodne z poniższymi wskazaniami.</w:t>
      </w:r>
    </w:p>
    <w:p w:rsidR="00C719A9" w:rsidRDefault="00C719A9">
      <w:pPr>
        <w:shd w:val="clear" w:color="auto" w:fill="FFFFFF"/>
        <w:spacing w:line="211" w:lineRule="exact"/>
        <w:ind w:right="341"/>
        <w:jc w:val="both"/>
        <w:rPr>
          <w:sz w:val="20"/>
        </w:rPr>
      </w:pPr>
      <w:r>
        <w:rPr>
          <w:sz w:val="20"/>
          <w:szCs w:val="18"/>
        </w:rPr>
        <w:t>Materiał znakujący należy nakładać równomierną warstwą o grubości uzgodnionej z Inżynierem, zachowując wymiary i ostrość krawędzi. Grubość nanoszonej warstwy zaleca się kontrolować przy pomocy grzebienia pomiarowego na płytce szklanej lub metalowej, podkładanej na drodze malowarki. Ilość materiału zużyta w czasie prac, określona przez średnie zużycie na metr kwadratowy, nie może się różnić od ilości ustalonej, więcej niż o 20%.</w:t>
      </w:r>
    </w:p>
    <w:p w:rsidR="00C719A9" w:rsidRDefault="00C719A9">
      <w:pPr>
        <w:shd w:val="clear" w:color="auto" w:fill="FFFFFF"/>
        <w:spacing w:before="115"/>
        <w:ind w:right="346"/>
        <w:jc w:val="both"/>
        <w:rPr>
          <w:b/>
          <w:bCs/>
          <w:sz w:val="20"/>
          <w:szCs w:val="18"/>
        </w:rPr>
      </w:pPr>
    </w:p>
    <w:p w:rsidR="00C719A9" w:rsidRDefault="00C719A9">
      <w:pPr>
        <w:shd w:val="clear" w:color="auto" w:fill="FFFFFF"/>
        <w:tabs>
          <w:tab w:val="left" w:pos="518"/>
        </w:tabs>
        <w:spacing w:before="110"/>
        <w:rPr>
          <w:sz w:val="20"/>
        </w:rPr>
      </w:pPr>
      <w:r>
        <w:rPr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>5.6.3.</w:t>
      </w:r>
      <w:r>
        <w:rPr>
          <w:b/>
          <w:bCs/>
          <w:sz w:val="20"/>
          <w:szCs w:val="18"/>
        </w:rPr>
        <w:tab/>
      </w:r>
      <w:r>
        <w:rPr>
          <w:sz w:val="20"/>
          <w:szCs w:val="18"/>
        </w:rPr>
        <w:t>Wykonanie znakowania drogi materiałami grubowarstwowymi chemoutwardzalnymi (strukturalne – struktura regularna)</w:t>
      </w:r>
    </w:p>
    <w:p w:rsidR="00C719A9" w:rsidRDefault="00C719A9">
      <w:pPr>
        <w:shd w:val="clear" w:color="auto" w:fill="FFFFFF"/>
        <w:spacing w:before="115" w:line="211" w:lineRule="exact"/>
        <w:ind w:right="346"/>
        <w:jc w:val="both"/>
        <w:rPr>
          <w:sz w:val="20"/>
        </w:rPr>
      </w:pPr>
      <w:r>
        <w:rPr>
          <w:sz w:val="20"/>
          <w:szCs w:val="18"/>
        </w:rPr>
        <w:t>Wykonanie znakowania powinno być zgodne z zaleceniami producenta materiałów, a w przypadku ich braku lub niepełnych danych - zgodne z poniższymi wskazaniami.</w:t>
      </w:r>
    </w:p>
    <w:p w:rsidR="00C719A9" w:rsidRDefault="00C719A9">
      <w:pPr>
        <w:shd w:val="clear" w:color="auto" w:fill="FFFFFF"/>
        <w:spacing w:line="211" w:lineRule="exact"/>
        <w:ind w:right="341"/>
        <w:jc w:val="both"/>
        <w:rPr>
          <w:sz w:val="20"/>
        </w:rPr>
      </w:pPr>
      <w:r>
        <w:rPr>
          <w:sz w:val="20"/>
          <w:szCs w:val="18"/>
        </w:rPr>
        <w:t>Materiał znakujący należy nakładać równomierną warstwą o grubości uzgodnionej z Inżynierem, zachowując wymiary i ostrość krawędzi. Grubość nanoszonej warstwy zaleca się kontrolować przy pomocy grzebienia pomiarowego na płytce szklanej lub metalowej, podkładanej na drodze malowarki. Ilość materiału zużyta w czasie prac, określona przez średnie zużycie na metr kwadratowy, nie może się różnić od ilości ustalonej, więcej niż o 20%.</w:t>
      </w:r>
    </w:p>
    <w:p w:rsidR="00C719A9" w:rsidRDefault="00C719A9">
      <w:pPr>
        <w:shd w:val="clear" w:color="auto" w:fill="FFFFFF"/>
        <w:spacing w:line="211" w:lineRule="exact"/>
        <w:ind w:right="346"/>
        <w:jc w:val="both"/>
        <w:rPr>
          <w:sz w:val="20"/>
        </w:rPr>
      </w:pPr>
      <w:r>
        <w:rPr>
          <w:sz w:val="20"/>
          <w:szCs w:val="18"/>
        </w:rPr>
        <w:t xml:space="preserve"> </w:t>
      </w:r>
    </w:p>
    <w:p w:rsidR="00C719A9" w:rsidRDefault="00C719A9">
      <w:pPr>
        <w:shd w:val="clear" w:color="auto" w:fill="FFFFFF"/>
        <w:spacing w:before="110"/>
        <w:rPr>
          <w:sz w:val="20"/>
        </w:rPr>
      </w:pPr>
      <w:r>
        <w:rPr>
          <w:b/>
          <w:bCs/>
          <w:sz w:val="20"/>
          <w:szCs w:val="18"/>
        </w:rPr>
        <w:t xml:space="preserve">5.6.4. </w:t>
      </w:r>
      <w:r>
        <w:rPr>
          <w:sz w:val="20"/>
          <w:szCs w:val="18"/>
        </w:rPr>
        <w:t>Wykonanie znakowania drogi punktowymi elementami odblaskowymi</w:t>
      </w:r>
    </w:p>
    <w:p w:rsidR="00C719A9" w:rsidRDefault="00C719A9">
      <w:pPr>
        <w:shd w:val="clear" w:color="auto" w:fill="FFFFFF"/>
        <w:spacing w:before="115" w:line="211" w:lineRule="exact"/>
        <w:ind w:right="346"/>
        <w:jc w:val="both"/>
        <w:rPr>
          <w:sz w:val="20"/>
        </w:rPr>
      </w:pPr>
      <w:r>
        <w:rPr>
          <w:sz w:val="20"/>
          <w:szCs w:val="18"/>
        </w:rPr>
        <w:t>Wykonanie znakowania powinno być zgodne z zaleceniami producenta materiałów, a w przypadku ich braku lub niepełnych danych - zgodne z poniższymi wskazaniami.</w:t>
      </w:r>
    </w:p>
    <w:p w:rsidR="00C719A9" w:rsidRDefault="00C719A9">
      <w:pPr>
        <w:shd w:val="clear" w:color="auto" w:fill="FFFFFF"/>
        <w:spacing w:line="211" w:lineRule="exact"/>
        <w:ind w:right="346"/>
        <w:jc w:val="both"/>
        <w:rPr>
          <w:sz w:val="20"/>
        </w:rPr>
      </w:pPr>
      <w:r>
        <w:rPr>
          <w:sz w:val="20"/>
          <w:szCs w:val="18"/>
        </w:rPr>
        <w:t>Przy wykonywaniu znakowania punktowymi elementami odblaskowymi należy zwracać szczególną uwagę na staranne mocowanie elementów do podłoża, od czego zależy trwałość wykonanego oznakowania.</w:t>
      </w:r>
    </w:p>
    <w:p w:rsidR="00C719A9" w:rsidRDefault="00C719A9">
      <w:pPr>
        <w:shd w:val="clear" w:color="auto" w:fill="FFFFFF"/>
        <w:spacing w:line="211" w:lineRule="exact"/>
        <w:ind w:right="341"/>
        <w:jc w:val="both"/>
        <w:rPr>
          <w:sz w:val="20"/>
        </w:rPr>
      </w:pPr>
      <w:r>
        <w:rPr>
          <w:sz w:val="20"/>
          <w:szCs w:val="18"/>
        </w:rPr>
        <w:t>Nie wolno zmieniać ustalonego przez producenta rodzaju kleju z uwagi na możliwość uzyskania różnej jego przyczepności do nawierzchni i do materiałów, z których wykonano punktowe elementy odblaskowe.</w:t>
      </w:r>
    </w:p>
    <w:p w:rsidR="00C719A9" w:rsidRDefault="00C719A9">
      <w:pPr>
        <w:shd w:val="clear" w:color="auto" w:fill="FFFFFF"/>
        <w:spacing w:line="211" w:lineRule="exact"/>
        <w:ind w:right="350"/>
        <w:jc w:val="both"/>
        <w:rPr>
          <w:sz w:val="20"/>
        </w:rPr>
      </w:pPr>
      <w:r>
        <w:rPr>
          <w:sz w:val="20"/>
          <w:szCs w:val="18"/>
        </w:rPr>
        <w:t>W przypadku znakowania nawierzchni betonowych należy zastosować podkład (primer) poprawiający przyczepność przyklejanych punktowych elementów odblaskowych do nawierzchni.</w:t>
      </w:r>
    </w:p>
    <w:p w:rsidR="00C719A9" w:rsidRDefault="00C719A9">
      <w:pPr>
        <w:shd w:val="clear" w:color="auto" w:fill="FFFFFF"/>
        <w:tabs>
          <w:tab w:val="left" w:pos="360"/>
        </w:tabs>
        <w:spacing w:before="110"/>
        <w:rPr>
          <w:sz w:val="20"/>
        </w:rPr>
      </w:pPr>
      <w:r>
        <w:rPr>
          <w:b/>
          <w:bCs/>
          <w:sz w:val="20"/>
          <w:szCs w:val="18"/>
        </w:rPr>
        <w:t>5.7.</w:t>
      </w:r>
      <w:r>
        <w:rPr>
          <w:b/>
          <w:bCs/>
          <w:sz w:val="20"/>
          <w:szCs w:val="18"/>
        </w:rPr>
        <w:tab/>
        <w:t>Usuwanie oznakowania poziomego</w:t>
      </w:r>
    </w:p>
    <w:p w:rsidR="00C719A9" w:rsidRDefault="00C719A9">
      <w:pPr>
        <w:shd w:val="clear" w:color="auto" w:fill="FFFFFF"/>
        <w:spacing w:before="115" w:line="216" w:lineRule="exact"/>
        <w:ind w:right="341" w:firstLine="662"/>
        <w:jc w:val="both"/>
        <w:rPr>
          <w:sz w:val="20"/>
        </w:rPr>
      </w:pPr>
      <w:r>
        <w:rPr>
          <w:sz w:val="20"/>
          <w:szCs w:val="18"/>
        </w:rPr>
        <w:t>W przypadku konieczności usunięcia istniejącego oznakowania poziomego, czynność tę należy wykonać jak najmniej uszkadzając nawierzchnię.</w:t>
      </w:r>
    </w:p>
    <w:p w:rsidR="00C719A9" w:rsidRDefault="00C719A9">
      <w:pPr>
        <w:shd w:val="clear" w:color="auto" w:fill="FFFFFF"/>
        <w:spacing w:line="216" w:lineRule="exact"/>
        <w:ind w:left="662"/>
        <w:rPr>
          <w:sz w:val="20"/>
        </w:rPr>
      </w:pPr>
      <w:r>
        <w:rPr>
          <w:sz w:val="20"/>
          <w:szCs w:val="18"/>
        </w:rPr>
        <w:t>Zaleca się wykonywać usuwanie oznakowania:</w:t>
      </w:r>
    </w:p>
    <w:p w:rsidR="00C719A9" w:rsidRDefault="00C719A9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14" w:line="216" w:lineRule="exact"/>
        <w:rPr>
          <w:sz w:val="20"/>
          <w:szCs w:val="18"/>
        </w:rPr>
      </w:pPr>
      <w:r>
        <w:rPr>
          <w:sz w:val="20"/>
          <w:szCs w:val="18"/>
        </w:rPr>
        <w:t>cienkowarstwowego, metodą: frezowania, piaskowania, trawienia, wypalania lub zamalowania,</w:t>
      </w:r>
    </w:p>
    <w:p w:rsidR="00C719A9" w:rsidRDefault="00C719A9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10" w:line="216" w:lineRule="exact"/>
        <w:rPr>
          <w:sz w:val="20"/>
          <w:szCs w:val="18"/>
        </w:rPr>
      </w:pPr>
      <w:r>
        <w:rPr>
          <w:sz w:val="20"/>
          <w:szCs w:val="18"/>
        </w:rPr>
        <w:t>grubowarstwowego, metodą frezowania,</w:t>
      </w:r>
    </w:p>
    <w:p w:rsidR="00C719A9" w:rsidRDefault="00C719A9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14" w:line="216" w:lineRule="exact"/>
        <w:rPr>
          <w:sz w:val="20"/>
          <w:szCs w:val="18"/>
        </w:rPr>
      </w:pPr>
      <w:r>
        <w:rPr>
          <w:sz w:val="20"/>
          <w:szCs w:val="18"/>
        </w:rPr>
        <w:t>punktowego, prostymi narzędziami mechanicznymi.</w:t>
      </w:r>
    </w:p>
    <w:p w:rsidR="00C719A9" w:rsidRDefault="00C719A9">
      <w:pPr>
        <w:shd w:val="clear" w:color="auto" w:fill="FFFFFF"/>
        <w:spacing w:line="216" w:lineRule="exact"/>
        <w:ind w:right="346" w:firstLine="662"/>
        <w:jc w:val="both"/>
        <w:rPr>
          <w:sz w:val="20"/>
        </w:rPr>
      </w:pPr>
      <w:r>
        <w:rPr>
          <w:sz w:val="20"/>
          <w:szCs w:val="18"/>
        </w:rPr>
        <w:t>Środki zastosowane do usunięcia oznakowania nie mogą wpływać ujemnie na przyczepność nowego oznakowania do podłoża, na jego szorstkość, trwałość oraz na właściwości podłoża.</w:t>
      </w:r>
    </w:p>
    <w:p w:rsidR="00C719A9" w:rsidRDefault="00C719A9">
      <w:pPr>
        <w:shd w:val="clear" w:color="auto" w:fill="FFFFFF"/>
        <w:spacing w:line="216" w:lineRule="exact"/>
        <w:ind w:right="346" w:firstLine="662"/>
        <w:jc w:val="both"/>
        <w:rPr>
          <w:sz w:val="20"/>
        </w:rPr>
      </w:pPr>
      <w:r>
        <w:rPr>
          <w:sz w:val="20"/>
          <w:szCs w:val="18"/>
        </w:rPr>
        <w:t>Usuwanie oznakowania na czas robót drogowych może być wykonane przez zamalowanie nietrwałą farbą barwy czarnej.</w:t>
      </w:r>
    </w:p>
    <w:p w:rsidR="00C719A9" w:rsidRDefault="00C719A9">
      <w:pPr>
        <w:shd w:val="clear" w:color="auto" w:fill="FFFFFF"/>
        <w:spacing w:line="216" w:lineRule="exact"/>
        <w:ind w:right="341" w:firstLine="662"/>
        <w:jc w:val="both"/>
        <w:rPr>
          <w:sz w:val="20"/>
        </w:rPr>
      </w:pPr>
      <w:r>
        <w:rPr>
          <w:sz w:val="20"/>
          <w:szCs w:val="18"/>
        </w:rPr>
        <w:t>Materiały pozostałe po usunięciu oznakowania należy usunąć z drogi tak, aby nie zanieczyszczały środowiska, w miejsce zaakceptowane przez Inżyniera.</w:t>
      </w:r>
    </w:p>
    <w:p w:rsidR="00C719A9" w:rsidRDefault="00C719A9">
      <w:pPr>
        <w:pStyle w:val="Heading1"/>
      </w:pPr>
      <w:r>
        <w:t>6. kontrola jakości robót</w:t>
      </w:r>
    </w:p>
    <w:p w:rsidR="00C719A9" w:rsidRDefault="00C719A9">
      <w:pPr>
        <w:pStyle w:val="Heading2"/>
      </w:pPr>
      <w:r>
        <w:t>6.1. Ogólne zasady kontroli jakości robót</w:t>
      </w:r>
    </w:p>
    <w:p w:rsidR="00C719A9" w:rsidRDefault="00C719A9">
      <w:pPr>
        <w:pStyle w:val="BodyText"/>
      </w:pPr>
      <w:r>
        <w:tab/>
        <w:t>Ogólne zasady kontroli jakości robót podano w OST D-M-00.00.00 „Wymagania ogólne” pkt 6.</w:t>
      </w:r>
    </w:p>
    <w:p w:rsidR="00C719A9" w:rsidRDefault="00C719A9">
      <w:pPr>
        <w:pStyle w:val="Heading2"/>
      </w:pPr>
      <w:r>
        <w:t xml:space="preserve">6.2. Badanie przygotowania podłoża </w:t>
      </w:r>
    </w:p>
    <w:p w:rsidR="00C719A9" w:rsidRDefault="00C719A9">
      <w:pPr>
        <w:shd w:val="clear" w:color="auto" w:fill="FFFFFF"/>
        <w:spacing w:before="91" w:line="211" w:lineRule="exact"/>
        <w:ind w:firstLine="662"/>
        <w:rPr>
          <w:sz w:val="20"/>
        </w:rPr>
      </w:pPr>
      <w:r>
        <w:rPr>
          <w:sz w:val="20"/>
        </w:rPr>
        <w:tab/>
      </w:r>
      <w:r>
        <w:rPr>
          <w:sz w:val="20"/>
          <w:szCs w:val="18"/>
        </w:rPr>
        <w:t>Powierzchnia jezdni przed wykonaniem znakowania poziomego musi być całkowicie czysta i sucha. Przed znakowanie powinno być wykonane zgodnie z wymaganiami punktu 5.5.</w:t>
      </w:r>
    </w:p>
    <w:p w:rsidR="00C719A9" w:rsidRDefault="00C719A9">
      <w:pPr>
        <w:pStyle w:val="BodyText"/>
      </w:pPr>
    </w:p>
    <w:p w:rsidR="00C719A9" w:rsidRDefault="00C719A9">
      <w:pPr>
        <w:pStyle w:val="Heading2"/>
      </w:pPr>
      <w:r>
        <w:t>6.4. Tolerancje wymiarów oznakowania</w:t>
      </w:r>
    </w:p>
    <w:p w:rsidR="00C719A9" w:rsidRDefault="00C719A9">
      <w:pPr>
        <w:rPr>
          <w:sz w:val="20"/>
        </w:rPr>
      </w:pPr>
      <w:r>
        <w:rPr>
          <w:b/>
          <w:sz w:val="20"/>
        </w:rPr>
        <w:t xml:space="preserve">6.4.1. </w:t>
      </w:r>
      <w:r>
        <w:rPr>
          <w:sz w:val="20"/>
        </w:rPr>
        <w:t>Tolerancje nowo wykonanego oznakowania</w:t>
      </w:r>
    </w:p>
    <w:p w:rsidR="00C719A9" w:rsidRDefault="00C719A9">
      <w:pPr>
        <w:spacing w:before="120"/>
        <w:rPr>
          <w:sz w:val="20"/>
        </w:rPr>
      </w:pPr>
      <w:r>
        <w:rPr>
          <w:sz w:val="20"/>
        </w:rPr>
        <w:tab/>
        <w:t>Tolerancje nowo wykonanego oznakowania poziomego, zgodnego z „Instrukcją o znakach drogowych poziomych” [3], powinny odpowiadać następującym warunkom:</w:t>
      </w:r>
    </w:p>
    <w:p w:rsidR="00C719A9" w:rsidRDefault="00C719A9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szerokość linii może różnić się od wymaganej o </w:t>
      </w:r>
      <w:r>
        <w:rPr>
          <w:sz w:val="20"/>
          <w:szCs w:val="20"/>
        </w:rPr>
        <w:sym w:font="Symbol" w:char="F0B1"/>
      </w:r>
      <w:r>
        <w:rPr>
          <w:sz w:val="20"/>
        </w:rPr>
        <w:t xml:space="preserve"> 5 mm,</w:t>
      </w:r>
    </w:p>
    <w:p w:rsidR="00C719A9" w:rsidRDefault="00C719A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długość linii może być mniejsza od wymaganej co najwyżej o 50 mm lub większa co najwyżej o 150 mm,</w:t>
      </w:r>
    </w:p>
    <w:p w:rsidR="00C719A9" w:rsidRDefault="00C719A9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dla linii przerywanych, długość cyklu składającego się z linii i przerwy nie może odbiegać od średniej liczonej z 10 kolejnych cykli o więcej niż </w:t>
      </w:r>
      <w:r>
        <w:rPr>
          <w:sz w:val="20"/>
          <w:szCs w:val="20"/>
        </w:rPr>
        <w:sym w:font="Symbol" w:char="F0B1"/>
      </w:r>
      <w:r>
        <w:rPr>
          <w:sz w:val="20"/>
        </w:rPr>
        <w:t xml:space="preserve"> 50 mm długości wymaganej,</w:t>
      </w:r>
    </w:p>
    <w:p w:rsidR="00C719A9" w:rsidRDefault="00C719A9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dla strzałek, liter i cyfr rozstaw punktów narożnikowych nie może mieć większej odchyłki od wymaganego wzoru niż </w:t>
      </w:r>
      <w:r>
        <w:rPr>
          <w:sz w:val="20"/>
          <w:szCs w:val="20"/>
        </w:rPr>
        <w:sym w:font="Symbol" w:char="F0B1"/>
      </w:r>
      <w:r>
        <w:rPr>
          <w:sz w:val="20"/>
        </w:rPr>
        <w:t xml:space="preserve"> 50 mm dla wymiaru długości i </w:t>
      </w:r>
      <w:r>
        <w:rPr>
          <w:sz w:val="20"/>
          <w:szCs w:val="20"/>
        </w:rPr>
        <w:sym w:font="Symbol" w:char="F0B1"/>
      </w:r>
      <w:r>
        <w:rPr>
          <w:sz w:val="20"/>
        </w:rPr>
        <w:t xml:space="preserve"> 20 mm dla wymiaru szerokości.</w:t>
      </w:r>
    </w:p>
    <w:p w:rsidR="00C719A9" w:rsidRDefault="00C719A9">
      <w:pPr>
        <w:rPr>
          <w:sz w:val="20"/>
        </w:rPr>
      </w:pPr>
      <w:r>
        <w:rPr>
          <w:sz w:val="20"/>
        </w:rPr>
        <w:tab/>
        <w:t>Przy wykonywaniu nowego oznakowania poziomego, spowodowanego zmianami organizacji ruchu, należy dokładnie usunąć zbędne stare oznakowanie.</w:t>
      </w:r>
    </w:p>
    <w:p w:rsidR="00C719A9" w:rsidRDefault="00C719A9">
      <w:pPr>
        <w:spacing w:before="120"/>
        <w:rPr>
          <w:sz w:val="20"/>
        </w:rPr>
      </w:pPr>
      <w:r>
        <w:rPr>
          <w:b/>
          <w:sz w:val="20"/>
        </w:rPr>
        <w:t xml:space="preserve">6.4.2. </w:t>
      </w:r>
      <w:r>
        <w:rPr>
          <w:b/>
          <w:bCs/>
          <w:sz w:val="20"/>
        </w:rPr>
        <w:t>Tolerancje przy odnawianiu istniejącego oznakowania</w:t>
      </w:r>
    </w:p>
    <w:p w:rsidR="00C719A9" w:rsidRDefault="00C719A9">
      <w:pPr>
        <w:pStyle w:val="BodyText"/>
        <w:spacing w:before="120" w:after="120"/>
      </w:pPr>
      <w:r>
        <w:tab/>
        <w:t>Przy odnawianiu istniejącego oznakowania należy dążyć do  pokrycia pełnej powierzchni istniejących znaków, przy zachowaniu dopuszczalnych tolerancji podanych w punkcie 6.4.1.</w:t>
      </w:r>
    </w:p>
    <w:p w:rsidR="00C719A9" w:rsidRDefault="00C719A9">
      <w:pPr>
        <w:pStyle w:val="BodyText"/>
        <w:spacing w:before="120" w:after="120"/>
      </w:pPr>
    </w:p>
    <w:p w:rsidR="00C719A9" w:rsidRDefault="00C719A9">
      <w:pPr>
        <w:pStyle w:val="BodyText"/>
        <w:spacing w:before="120" w:after="120"/>
      </w:pPr>
    </w:p>
    <w:p w:rsidR="00C719A9" w:rsidRDefault="00C719A9">
      <w:pPr>
        <w:pStyle w:val="BodyText"/>
        <w:numPr>
          <w:ilvl w:val="0"/>
          <w:numId w:val="4"/>
        </w:numPr>
        <w:spacing w:before="120" w:after="120"/>
        <w:rPr>
          <w:b/>
          <w:bCs/>
        </w:rPr>
      </w:pPr>
      <w:r>
        <w:rPr>
          <w:b/>
          <w:bCs/>
        </w:rPr>
        <w:t>KONTROLA JAKOŚCI ROBÓT</w:t>
      </w:r>
    </w:p>
    <w:p w:rsidR="00C719A9" w:rsidRDefault="00C719A9">
      <w:pPr>
        <w:pStyle w:val="BodyText"/>
        <w:spacing w:before="120" w:after="120"/>
        <w:rPr>
          <w:b/>
          <w:bCs/>
        </w:rPr>
      </w:pPr>
      <w:r>
        <w:rPr>
          <w:b/>
          <w:bCs/>
        </w:rPr>
        <w:t>7.1. Program zapewnienia jakości</w:t>
      </w:r>
    </w:p>
    <w:p w:rsidR="00C719A9" w:rsidRDefault="00C719A9">
      <w:pPr>
        <w:pStyle w:val="BodyText"/>
        <w:spacing w:before="120" w:after="120"/>
        <w:rPr>
          <w:b/>
          <w:bCs/>
        </w:rPr>
      </w:pPr>
      <w:r>
        <w:rPr>
          <w:b/>
          <w:bCs/>
        </w:rPr>
        <w:t>Wykonawca jest zobowiązany opracować i przedstawić do akceptacji koordynatorowi program zapewnienia jakości,</w:t>
      </w:r>
    </w:p>
    <w:p w:rsidR="00C719A9" w:rsidRDefault="00C719A9">
      <w:pPr>
        <w:pStyle w:val="BodyText"/>
        <w:spacing w:before="120" w:after="120"/>
      </w:pPr>
      <w:r>
        <w:t>W programie zapewnienia jakości Wykonawca powinien określić, zamierzony sposób wykonywania robót, możliwości techniczne, kadrowe i plan organizacji robót zgodnie z SST oraz ustaleniami.</w:t>
      </w:r>
    </w:p>
    <w:p w:rsidR="00C719A9" w:rsidRDefault="00C719A9">
      <w:pPr>
        <w:pStyle w:val="BodyText"/>
        <w:spacing w:before="120" w:after="120"/>
      </w:pPr>
      <w:r>
        <w:t>Program zapewnienia jakości powinien zawierać:</w:t>
      </w:r>
    </w:p>
    <w:p w:rsidR="00C719A9" w:rsidRDefault="00C719A9">
      <w:pPr>
        <w:pStyle w:val="BodyText"/>
        <w:spacing w:before="120" w:after="120"/>
      </w:pPr>
      <w:r>
        <w:t xml:space="preserve"> a) część opisową:</w:t>
      </w:r>
    </w:p>
    <w:p w:rsidR="00C719A9" w:rsidRDefault="00C719A9">
      <w:pPr>
        <w:pStyle w:val="BodyText"/>
        <w:spacing w:before="120" w:after="120"/>
      </w:pPr>
      <w:r>
        <w:t xml:space="preserve">     - organizację wykonania robót, w tym terminy i sposób prowadzenia robót</w:t>
      </w:r>
    </w:p>
    <w:p w:rsidR="00C719A9" w:rsidRDefault="00C719A9">
      <w:pPr>
        <w:pStyle w:val="BodyText"/>
        <w:spacing w:before="120" w:after="120"/>
      </w:pPr>
      <w:r>
        <w:t xml:space="preserve">     - organizację ruchu na budowie wraz z oznakowaniem robót</w:t>
      </w:r>
    </w:p>
    <w:p w:rsidR="00C719A9" w:rsidRDefault="00C719A9">
      <w:pPr>
        <w:pStyle w:val="BodyText"/>
        <w:spacing w:before="120" w:after="120"/>
      </w:pPr>
      <w:r>
        <w:t xml:space="preserve">     - sposób zapewnienia bhp</w:t>
      </w:r>
    </w:p>
    <w:p w:rsidR="00C719A9" w:rsidRDefault="00C719A9">
      <w:pPr>
        <w:pStyle w:val="BodyText"/>
        <w:spacing w:before="120" w:after="120"/>
      </w:pPr>
      <w:r>
        <w:t xml:space="preserve">     - wykaz zespołów roboczych, ich kwalifikacje i przygotowanie praktyczne</w:t>
      </w:r>
    </w:p>
    <w:p w:rsidR="00C719A9" w:rsidRDefault="00C719A9">
      <w:pPr>
        <w:pStyle w:val="BodyText"/>
        <w:spacing w:before="120" w:after="120"/>
      </w:pPr>
      <w:r>
        <w:t xml:space="preserve">     - wykaz osób odpowiedzialnych za jakość i terminowość wykonania poszczególnych elementów robót</w:t>
      </w:r>
    </w:p>
    <w:p w:rsidR="00C719A9" w:rsidRDefault="00C719A9">
      <w:pPr>
        <w:pStyle w:val="BodyText"/>
        <w:spacing w:before="120" w:after="120"/>
      </w:pPr>
      <w:r>
        <w:t xml:space="preserve">     - system (sposób i procedurę) proponowanej kontroli i sterowania jakością wykonywanych robót</w:t>
      </w:r>
    </w:p>
    <w:p w:rsidR="00C719A9" w:rsidRDefault="00C719A9">
      <w:pPr>
        <w:pStyle w:val="BodyText"/>
        <w:spacing w:before="120" w:after="120"/>
      </w:pPr>
      <w:r>
        <w:t xml:space="preserve">     - wyposażenie w sprzęt i urządzenia do pomiarów i kontroli (opis laboratorium własnego lub laboratorium, któremu Wykonawca zamierza zlecić prowadzenie badań)</w:t>
      </w:r>
    </w:p>
    <w:p w:rsidR="00C719A9" w:rsidRDefault="00C719A9">
      <w:pPr>
        <w:pStyle w:val="BodyText"/>
        <w:spacing w:before="120" w:after="120"/>
      </w:pPr>
      <w:r>
        <w:t xml:space="preserve">     - sposób oraz formę gromadzenia wyników badań laboratoryjnych, zapis pomiarów, nastaw mechanizmów sterujących a także wyciąganych wniosków i zastosowań koreky w procesie technologicznym, proponowany sposób i formę przekazywania tych informacji Koordynatorowi:</w:t>
      </w:r>
    </w:p>
    <w:p w:rsidR="00C719A9" w:rsidRDefault="00C719A9">
      <w:pPr>
        <w:pStyle w:val="BodyText"/>
        <w:spacing w:before="120" w:after="120"/>
      </w:pPr>
      <w:r>
        <w:t>b) część szczegółową opisującą dla każdego asortymentu robót:</w:t>
      </w:r>
    </w:p>
    <w:p w:rsidR="00C719A9" w:rsidRDefault="00C719A9">
      <w:pPr>
        <w:pStyle w:val="BodyText"/>
        <w:spacing w:before="120" w:after="120"/>
      </w:pPr>
      <w:r>
        <w:t xml:space="preserve">     - wykaz maszyn i urządzeń stosowanych na budowie z ich parametrami technicznymi oraz wyposażeniem w mechanizmy  do sterowania i urządzenia pomiarowo- kontrolne</w:t>
      </w:r>
    </w:p>
    <w:p w:rsidR="00C719A9" w:rsidRDefault="00C719A9">
      <w:pPr>
        <w:pStyle w:val="BodyText"/>
        <w:spacing w:before="120" w:after="120"/>
      </w:pPr>
      <w:r>
        <w:t xml:space="preserve">     - rodzaje i ilości środków transportu oraz urządzeń do magazynowania i załadunku materiałów , farb, rozpuszczalników itp.</w:t>
      </w:r>
    </w:p>
    <w:p w:rsidR="00C719A9" w:rsidRDefault="00C719A9">
      <w:pPr>
        <w:pStyle w:val="BodyText"/>
        <w:spacing w:before="120" w:after="120"/>
      </w:pPr>
      <w:r>
        <w:t xml:space="preserve">     - sposób zabezpieczenia i ochrony ładunków przed utratą ich właściwości w czasie transportu</w:t>
      </w:r>
    </w:p>
    <w:p w:rsidR="00C719A9" w:rsidRDefault="00C719A9">
      <w:pPr>
        <w:pStyle w:val="BodyText"/>
        <w:spacing w:before="120" w:after="120"/>
      </w:pPr>
      <w:r>
        <w:t xml:space="preserve">     - sposób i procedurę pomiarów i badań (rodzaj i częstotliwość, pobierania próbek, legalizacja i sprawdzanie urządzeń, itp.) prowadzonych podczas dostaw materiałów i wykonywania poszczególnych elementów robót</w:t>
      </w:r>
    </w:p>
    <w:p w:rsidR="00C719A9" w:rsidRDefault="00C719A9">
      <w:pPr>
        <w:pStyle w:val="BodyText"/>
        <w:spacing w:before="120" w:after="120"/>
        <w:ind w:firstLine="200"/>
        <w:rPr>
          <w:b/>
          <w:bCs/>
        </w:rPr>
      </w:pPr>
      <w:r>
        <w:rPr>
          <w:b/>
          <w:bCs/>
        </w:rPr>
        <w:t>7.2. Zasady kontroli jakości robót</w:t>
      </w:r>
    </w:p>
    <w:p w:rsidR="00C719A9" w:rsidRDefault="00C719A9">
      <w:pPr>
        <w:pStyle w:val="BodyText"/>
        <w:spacing w:before="120" w:after="120"/>
        <w:ind w:firstLine="200"/>
        <w:rPr>
          <w:b/>
          <w:bCs/>
        </w:rPr>
      </w:pPr>
      <w:r>
        <w:t>Celem kontroli robót będzie takie sterowanie ich przygotowaniem i wykonaniem, aby osiągnąć założoną jakość robót. Wykonawca jest odpowiedzialny za pełną kontrolę robót i jakości materiałów. Wykonawca zapewni odpowiedni system kontroli, włączając personel, laboratorium, sprzęt, zaopatrzenie i wszystkie urządzenia niezbędne do pobierania próbek i badań materiałów oraz robót.</w:t>
      </w:r>
    </w:p>
    <w:p w:rsidR="00C719A9" w:rsidRDefault="00C719A9">
      <w:pPr>
        <w:pStyle w:val="BodyText"/>
        <w:spacing w:before="120" w:after="120"/>
        <w:ind w:firstLine="200"/>
        <w:rPr>
          <w:b/>
          <w:bCs/>
        </w:rPr>
      </w:pPr>
      <w:r>
        <w:rPr>
          <w:b/>
          <w:bCs/>
        </w:rPr>
        <w:t>7.3. Badania i pomiary</w:t>
      </w:r>
    </w:p>
    <w:p w:rsidR="00C719A9" w:rsidRDefault="00C719A9">
      <w:pPr>
        <w:pStyle w:val="BodyText"/>
        <w:spacing w:before="120" w:after="120"/>
        <w:ind w:firstLine="200"/>
      </w:pPr>
      <w:r>
        <w:t>Wszystkie badania i pomiary będą przeprowadzone zgodnie z wymaganiami norm. W przypadku, gdy normy nie obejmują jakiegokolwiek badania wymaganego w SST, stosować można wytyczne krajowe albo inne procedury zaakceptowane przez Koordynatora projektu.</w:t>
      </w:r>
    </w:p>
    <w:p w:rsidR="00C719A9" w:rsidRDefault="00C719A9">
      <w:pPr>
        <w:pStyle w:val="BodyText"/>
        <w:spacing w:before="120" w:after="120"/>
        <w:ind w:firstLine="200"/>
      </w:pPr>
      <w:r>
        <w:t>Przed przystąpieniem do pomiarów lub badań, Wykonawca powiadomi odpowiednio Osoby Nadzorujące o rodzaju, miejscu i terminie pomiaru lub badania. Po wykonaniu badania lub pomiaru, Wykonawca przedstawi na piśmie ich wyniki do odbioru końcowego robót Osobie nadzorującej.</w:t>
      </w:r>
    </w:p>
    <w:p w:rsidR="00C719A9" w:rsidRDefault="00C719A9">
      <w:pPr>
        <w:pStyle w:val="BodyText"/>
        <w:spacing w:before="120" w:after="120"/>
        <w:ind w:firstLine="200"/>
        <w:rPr>
          <w:b/>
          <w:bCs/>
        </w:rPr>
      </w:pPr>
    </w:p>
    <w:p w:rsidR="00C719A9" w:rsidRDefault="00C719A9">
      <w:pPr>
        <w:pStyle w:val="BodyText"/>
        <w:spacing w:before="120" w:after="120"/>
        <w:ind w:firstLine="200"/>
        <w:rPr>
          <w:b/>
          <w:bCs/>
        </w:rPr>
      </w:pPr>
      <w:r>
        <w:rPr>
          <w:b/>
          <w:bCs/>
        </w:rPr>
        <w:t>7.3.1 Badania próbek materiałów</w:t>
      </w:r>
    </w:p>
    <w:p w:rsidR="00C719A9" w:rsidRDefault="00C719A9">
      <w:pPr>
        <w:pStyle w:val="BodyText"/>
        <w:spacing w:before="120" w:after="120"/>
        <w:ind w:firstLine="200"/>
      </w:pPr>
      <w:r>
        <w:t>Na zlecenie Koordynatora Wykonawca będzie przeprowadzać dodatkowe badania tych materiałów, które budzą wątpliwości co do jakości, o ile kwestionowane materiały nie zostaną przez Wykonawcę usunięte lub ulepszone z własnej woli. Koszty tych dodatkowych badań pokrywa Wykonawca tylko w przypadku stwierdzenia usterek; w przeciwnym przypadku koszty te pokrywa Zamawiający.</w:t>
      </w:r>
    </w:p>
    <w:p w:rsidR="00C719A9" w:rsidRDefault="00C719A9">
      <w:pPr>
        <w:pStyle w:val="BodyText"/>
        <w:spacing w:before="120" w:after="120"/>
        <w:ind w:firstLine="200"/>
        <w:rPr>
          <w:b/>
          <w:bCs/>
        </w:rPr>
      </w:pPr>
      <w:r>
        <w:rPr>
          <w:b/>
          <w:bCs/>
        </w:rPr>
        <w:t>7.3.2.Badania wykonywane przez Wykonawcę w trakcie wykonywania oznakowania</w:t>
      </w:r>
    </w:p>
    <w:p w:rsidR="00C719A9" w:rsidRDefault="00C719A9">
      <w:pPr>
        <w:pStyle w:val="BodyText"/>
        <w:spacing w:before="120" w:after="120"/>
        <w:ind w:firstLine="200"/>
      </w:pPr>
      <w:r>
        <w:t xml:space="preserve"> Wykonawca wykonując znakowanie poziome przeprowadza przed rozpoczęciem każdej pracy oraz w czasie jej wykonania, co najmniej raz dziennie lub zgodnie z ustaleniem SST następujące badania:</w:t>
      </w:r>
    </w:p>
    <w:p w:rsidR="00C719A9" w:rsidRDefault="00C719A9">
      <w:pPr>
        <w:pStyle w:val="BodyText"/>
        <w:spacing w:before="120" w:after="120"/>
        <w:ind w:firstLine="200"/>
        <w:rPr>
          <w:b/>
          <w:bCs/>
        </w:rPr>
      </w:pPr>
      <w:r>
        <w:rPr>
          <w:b/>
          <w:bCs/>
        </w:rPr>
        <w:t>- dla oznakowania cienkowarstwowego</w:t>
      </w:r>
    </w:p>
    <w:p w:rsidR="00C719A9" w:rsidRDefault="00C719A9">
      <w:pPr>
        <w:pStyle w:val="BodyText"/>
        <w:spacing w:before="120" w:after="120"/>
        <w:ind w:firstLine="200"/>
      </w:pPr>
      <w:r>
        <w:t>Przed rozpoczęciem pracy:</w:t>
      </w:r>
    </w:p>
    <w:p w:rsidR="00C719A9" w:rsidRDefault="00C719A9">
      <w:pPr>
        <w:pStyle w:val="BodyText"/>
        <w:spacing w:before="120" w:after="120"/>
        <w:ind w:firstLine="200"/>
      </w:pPr>
      <w:r>
        <w:t>- sprawdzenie oznakowania opakowań</w:t>
      </w:r>
    </w:p>
    <w:p w:rsidR="00C719A9" w:rsidRDefault="00C719A9">
      <w:pPr>
        <w:pStyle w:val="BodyText"/>
        <w:spacing w:before="120" w:after="120"/>
        <w:ind w:firstLine="200"/>
      </w:pPr>
      <w:r>
        <w:t>- wizualną ocenę stanu materiału, w zakresie jego jednorodności i widocznych wad</w:t>
      </w:r>
    </w:p>
    <w:p w:rsidR="00C719A9" w:rsidRDefault="00C719A9">
      <w:pPr>
        <w:pStyle w:val="BodyText"/>
        <w:spacing w:before="120" w:after="120"/>
        <w:ind w:firstLine="200"/>
      </w:pPr>
      <w:r>
        <w:t>- pomiarów wilgotności względnej powietrza</w:t>
      </w:r>
    </w:p>
    <w:p w:rsidR="00C719A9" w:rsidRDefault="00C719A9">
      <w:pPr>
        <w:pStyle w:val="BodyText"/>
        <w:spacing w:before="120" w:after="120"/>
        <w:ind w:firstLine="200"/>
      </w:pPr>
      <w:r>
        <w:t>- pomiar temperatury powietrza i nawierzchni</w:t>
      </w:r>
    </w:p>
    <w:p w:rsidR="00C719A9" w:rsidRDefault="00C719A9">
      <w:pPr>
        <w:pStyle w:val="BodyText"/>
        <w:spacing w:before="120" w:after="120"/>
        <w:ind w:firstLine="200"/>
      </w:pPr>
      <w:r>
        <w:t>- badanie lepkości farby</w:t>
      </w:r>
    </w:p>
    <w:p w:rsidR="00C719A9" w:rsidRDefault="00C719A9">
      <w:pPr>
        <w:pStyle w:val="BodyText"/>
        <w:spacing w:before="120" w:after="120"/>
        <w:ind w:firstLine="200"/>
      </w:pPr>
      <w:r>
        <w:t>W czasie wykonywania pracy:</w:t>
      </w:r>
    </w:p>
    <w:p w:rsidR="00C719A9" w:rsidRDefault="00C719A9">
      <w:pPr>
        <w:pStyle w:val="BodyText"/>
        <w:spacing w:before="120" w:after="120"/>
        <w:ind w:firstLine="200"/>
      </w:pPr>
      <w:r>
        <w:t>- pomiarów grubości warstwy oznakowania</w:t>
      </w:r>
    </w:p>
    <w:p w:rsidR="00C719A9" w:rsidRDefault="00C719A9">
      <w:pPr>
        <w:pStyle w:val="BodyText"/>
        <w:spacing w:before="120" w:after="120"/>
        <w:ind w:firstLine="200"/>
      </w:pPr>
      <w:r>
        <w:t>- pomiar czasu schnięcia</w:t>
      </w:r>
    </w:p>
    <w:p w:rsidR="00C719A9" w:rsidRDefault="00C719A9">
      <w:pPr>
        <w:pStyle w:val="BodyText"/>
        <w:spacing w:before="120" w:after="120"/>
        <w:ind w:firstLine="200"/>
      </w:pPr>
      <w:r>
        <w:t>- wizualną ocenę równomierności rozłożenia kulek szklanych</w:t>
      </w:r>
    </w:p>
    <w:p w:rsidR="00C719A9" w:rsidRDefault="00C719A9">
      <w:pPr>
        <w:pStyle w:val="BodyText"/>
        <w:spacing w:before="120" w:after="120"/>
        <w:ind w:firstLine="200"/>
      </w:pPr>
      <w:r>
        <w:t>-pomiar poziomych wymiarów oznakowania, na zgodność ze „ Szczegółowymi warunkami technicznymi dla znaków i sygnałów drogowych oraz urządzeń bezpieczeństwa ruchu drogowego i warunków ich umieszczania na drogach” [3]</w:t>
      </w:r>
    </w:p>
    <w:p w:rsidR="00C719A9" w:rsidRDefault="00C719A9">
      <w:pPr>
        <w:pStyle w:val="BodyText"/>
        <w:spacing w:before="120" w:after="120"/>
        <w:ind w:firstLine="200"/>
      </w:pPr>
      <w:r>
        <w:t>- wizualną ocenę równomierności skropienia na całej szerokości linii</w:t>
      </w:r>
    </w:p>
    <w:p w:rsidR="00C719A9" w:rsidRDefault="00C719A9">
      <w:pPr>
        <w:pStyle w:val="BodyText"/>
        <w:spacing w:before="120" w:after="120"/>
        <w:ind w:firstLine="200"/>
        <w:rPr>
          <w:b/>
          <w:bCs/>
        </w:rPr>
      </w:pPr>
      <w:r>
        <w:rPr>
          <w:b/>
          <w:bCs/>
        </w:rPr>
        <w:t>- dla oznakowań grubowarstwowych</w:t>
      </w:r>
    </w:p>
    <w:p w:rsidR="00C719A9" w:rsidRDefault="00C719A9">
      <w:pPr>
        <w:pStyle w:val="BodyText"/>
        <w:spacing w:before="120" w:after="120"/>
        <w:ind w:firstLine="200"/>
      </w:pPr>
      <w:r>
        <w:t xml:space="preserve">Przed rozpoczęciem pracy </w:t>
      </w:r>
    </w:p>
    <w:p w:rsidR="00C719A9" w:rsidRDefault="00C719A9">
      <w:pPr>
        <w:pStyle w:val="BodyText"/>
        <w:spacing w:before="120" w:after="120"/>
        <w:ind w:firstLine="200"/>
      </w:pPr>
      <w:r>
        <w:t>- sprawdzenie oznakowania opakowań</w:t>
      </w:r>
    </w:p>
    <w:p w:rsidR="00C719A9" w:rsidRDefault="00C719A9">
      <w:pPr>
        <w:pStyle w:val="BodyText"/>
        <w:spacing w:before="120" w:after="120"/>
        <w:ind w:firstLine="200"/>
      </w:pPr>
      <w:r>
        <w:t>- wizualną ocenę stanu materiału, w zakresie jego jednorodności i widocznych wad</w:t>
      </w:r>
    </w:p>
    <w:p w:rsidR="00C719A9" w:rsidRDefault="00C719A9">
      <w:pPr>
        <w:pStyle w:val="BodyText"/>
        <w:spacing w:before="120" w:after="120"/>
        <w:ind w:firstLine="200"/>
      </w:pPr>
      <w:r>
        <w:t>- pomiarów wilgotności względnej powietrza</w:t>
      </w:r>
    </w:p>
    <w:p w:rsidR="00C719A9" w:rsidRDefault="00C719A9">
      <w:pPr>
        <w:pStyle w:val="BodyText"/>
        <w:spacing w:before="120" w:after="120"/>
        <w:ind w:firstLine="200"/>
      </w:pPr>
      <w:r>
        <w:t>- pomiar temperatury powietrza i nawierzchni</w:t>
      </w:r>
    </w:p>
    <w:p w:rsidR="00C719A9" w:rsidRDefault="00C719A9">
      <w:pPr>
        <w:pStyle w:val="BodyText"/>
        <w:spacing w:before="120" w:after="120"/>
        <w:ind w:firstLine="200"/>
      </w:pPr>
      <w:r>
        <w:t>W czasie wykonywania pracy:</w:t>
      </w:r>
    </w:p>
    <w:p w:rsidR="00C719A9" w:rsidRDefault="00C719A9">
      <w:pPr>
        <w:pStyle w:val="BodyText"/>
        <w:spacing w:before="120" w:after="120"/>
        <w:ind w:firstLine="200"/>
      </w:pPr>
      <w:r>
        <w:t>- pomiarów grubości warstwy oznakowania</w:t>
      </w:r>
    </w:p>
    <w:p w:rsidR="00C719A9" w:rsidRDefault="00C719A9">
      <w:pPr>
        <w:pStyle w:val="BodyText"/>
        <w:spacing w:before="120" w:after="120"/>
        <w:ind w:firstLine="200"/>
      </w:pPr>
      <w:r>
        <w:t>- pomiar czasu wiązania</w:t>
      </w:r>
    </w:p>
    <w:p w:rsidR="00C719A9" w:rsidRDefault="00C719A9">
      <w:pPr>
        <w:pStyle w:val="BodyText"/>
        <w:spacing w:before="120" w:after="120"/>
        <w:ind w:firstLine="200"/>
      </w:pPr>
      <w:r>
        <w:t>- wizualną ocenę równomierności rozłożenia kulek szklanych</w:t>
      </w:r>
    </w:p>
    <w:p w:rsidR="00C719A9" w:rsidRDefault="00C719A9">
      <w:pPr>
        <w:pStyle w:val="BodyText"/>
        <w:spacing w:before="120" w:after="120"/>
        <w:ind w:firstLine="200"/>
      </w:pPr>
      <w:r>
        <w:t>-pomiar poziomych wymiarów oznakowania, na zgodność ze „ Szczegółowymi warunkami technicznymi dla znaków i sygnałów drogowych oraz urządzeń bezpieczeństwa ruchu drogowego i warunków ich umieszczania na drogach”</w:t>
      </w:r>
    </w:p>
    <w:p w:rsidR="00C719A9" w:rsidRDefault="00C719A9">
      <w:pPr>
        <w:pStyle w:val="BodyText"/>
        <w:spacing w:before="120" w:after="120"/>
        <w:ind w:firstLine="200"/>
      </w:pPr>
      <w:r>
        <w:t>- wizualną ocenę równomierności rozłożenia masy na całej szerokości linii</w:t>
      </w:r>
    </w:p>
    <w:p w:rsidR="00C719A9" w:rsidRDefault="00C719A9">
      <w:pPr>
        <w:pStyle w:val="BodyText"/>
        <w:spacing w:before="120" w:after="120"/>
        <w:ind w:firstLine="200"/>
        <w:rPr>
          <w:b/>
          <w:bCs/>
        </w:rPr>
      </w:pPr>
      <w:r>
        <w:rPr>
          <w:b/>
          <w:bCs/>
        </w:rPr>
        <w:t>7.3.3. Grubość oznakowania</w:t>
      </w:r>
    </w:p>
    <w:p w:rsidR="00C719A9" w:rsidRDefault="00C719A9">
      <w:pPr>
        <w:pStyle w:val="BodyText"/>
        <w:spacing w:before="120" w:after="120"/>
        <w:ind w:firstLine="200"/>
      </w:pPr>
      <w:r>
        <w:t xml:space="preserve">Wykonawca powinien przeprowadzić łącznie 10 pomiarów grubości warstwy oznakowania na drodze. Grubość oznakowania powinna wynosić dla oznakowania cienkowarstwowego ( grubość na mokro bez kulek szklanych) </w:t>
      </w:r>
      <w:r>
        <w:rPr>
          <w:b/>
          <w:bCs/>
        </w:rPr>
        <w:t>minimum 0,6 mm,</w:t>
      </w:r>
      <w:r>
        <w:t xml:space="preserve"> a dla oznakowania grubowarstwowego </w:t>
      </w:r>
      <w:r>
        <w:rPr>
          <w:b/>
          <w:bCs/>
        </w:rPr>
        <w:t>minimum 3 mm</w:t>
      </w:r>
      <w:r>
        <w:t xml:space="preserve"> na blasze lub płytce szklanej (300x250x0,8 mm) z określoną lokalizacją pobranej próbki i wynikiem pomiaru.</w:t>
      </w:r>
    </w:p>
    <w:p w:rsidR="00C719A9" w:rsidRDefault="00C719A9">
      <w:pPr>
        <w:pStyle w:val="BodyText"/>
        <w:spacing w:before="120" w:after="120"/>
        <w:ind w:firstLine="200"/>
        <w:rPr>
          <w:b/>
          <w:bCs/>
        </w:rPr>
      </w:pPr>
      <w:r>
        <w:rPr>
          <w:b/>
          <w:bCs/>
        </w:rPr>
        <w:t>7.3.4. Badania wykonywane przez Wykonawcę po wykonaniu oznakowania</w:t>
      </w:r>
    </w:p>
    <w:p w:rsidR="00C719A9" w:rsidRDefault="00C719A9">
      <w:pPr>
        <w:pStyle w:val="BodyText"/>
        <w:spacing w:before="120" w:after="120"/>
        <w:ind w:firstLine="200"/>
      </w:pPr>
      <w:r>
        <w:t>- widzialność w nocy</w:t>
      </w:r>
    </w:p>
    <w:p w:rsidR="00C719A9" w:rsidRDefault="00C719A9">
      <w:pPr>
        <w:pStyle w:val="BodyText"/>
        <w:spacing w:before="120" w:after="120"/>
        <w:ind w:firstLine="200"/>
      </w:pPr>
      <w:r>
        <w:t>- widzialność w dzień</w:t>
      </w:r>
    </w:p>
    <w:p w:rsidR="00C719A9" w:rsidRDefault="00C719A9">
      <w:pPr>
        <w:pStyle w:val="BodyText"/>
        <w:spacing w:before="120" w:after="120"/>
        <w:ind w:firstLine="200"/>
        <w:rPr>
          <w:b/>
          <w:bCs/>
        </w:rPr>
      </w:pPr>
      <w:r>
        <w:rPr>
          <w:b/>
          <w:bCs/>
        </w:rPr>
        <w:t>7.3.5. Widzialność w nocy</w:t>
      </w:r>
    </w:p>
    <w:p w:rsidR="00C719A9" w:rsidRDefault="00C719A9">
      <w:pPr>
        <w:pStyle w:val="BodyText"/>
        <w:spacing w:before="120" w:after="120"/>
        <w:ind w:firstLine="200"/>
      </w:pPr>
      <w:r>
        <w:t>Za miarę widzialności w nocy przyjęto powierzchniowy współczynnik odblasku RL.                 Wartość współczynnika RL powinna wynosić dla oznakowania świeżego w stanie suchym:</w:t>
      </w:r>
    </w:p>
    <w:p w:rsidR="00C719A9" w:rsidRDefault="00C719A9">
      <w:pPr>
        <w:pStyle w:val="BodyText"/>
        <w:spacing w:before="120" w:after="120"/>
        <w:ind w:firstLine="200"/>
      </w:pPr>
      <w:r>
        <w:t>- oznakowanie cienkowarstwowe co najmniej 250 mcd m-2 Ix-1</w:t>
      </w:r>
    </w:p>
    <w:p w:rsidR="00C719A9" w:rsidRDefault="00C719A9">
      <w:pPr>
        <w:pStyle w:val="BodyText"/>
        <w:spacing w:before="120" w:after="120"/>
        <w:ind w:firstLine="200"/>
      </w:pPr>
      <w:r>
        <w:t>- oznakowanie grubowarstwowe strukturalne co najmniej 50 mcd m-2 Ix-1</w:t>
      </w:r>
    </w:p>
    <w:p w:rsidR="00C719A9" w:rsidRDefault="00C719A9">
      <w:pPr>
        <w:pStyle w:val="BodyText"/>
        <w:spacing w:before="120" w:after="120"/>
        <w:ind w:firstLine="200"/>
      </w:pPr>
      <w:r>
        <w:t>Wartość współczynnika RL powinna wynosić dla oznakowania używanego po 12 miesiącach eksploatacji</w:t>
      </w:r>
    </w:p>
    <w:p w:rsidR="00C719A9" w:rsidRDefault="00C719A9">
      <w:pPr>
        <w:pStyle w:val="BodyText"/>
        <w:spacing w:before="120" w:after="120"/>
        <w:ind w:firstLine="200"/>
      </w:pPr>
      <w:r>
        <w:t>- oznakowanie cienkowarstwowe c najmniej 100 mcd m-2 Ix-1</w:t>
      </w:r>
    </w:p>
    <w:p w:rsidR="00C719A9" w:rsidRDefault="00C719A9">
      <w:pPr>
        <w:pStyle w:val="BodyText"/>
        <w:spacing w:before="120" w:after="120"/>
        <w:ind w:firstLine="200"/>
      </w:pPr>
      <w:r>
        <w:t>- oznakowanie grubowarstwowe strukturalne co najmniej 35 mcd m-2 Ix-1</w:t>
      </w:r>
    </w:p>
    <w:p w:rsidR="00C719A9" w:rsidRDefault="00C719A9">
      <w:pPr>
        <w:pStyle w:val="BodyText"/>
        <w:spacing w:before="120" w:after="120"/>
        <w:ind w:firstLine="200"/>
        <w:rPr>
          <w:b/>
          <w:bCs/>
        </w:rPr>
      </w:pPr>
      <w:r>
        <w:rPr>
          <w:b/>
          <w:bCs/>
        </w:rPr>
        <w:t>7.3.6. Widzialność w dzień</w:t>
      </w:r>
    </w:p>
    <w:p w:rsidR="00C719A9" w:rsidRDefault="00C719A9">
      <w:pPr>
        <w:pStyle w:val="BodyText"/>
        <w:spacing w:before="120" w:after="120"/>
        <w:ind w:firstLine="200"/>
      </w:pPr>
      <w:r>
        <w:t>Widoczność oznakowania w dzień jest określona współczynnikiem luminacji w świetle rozproszonym Qd. Wartość współczynnika Qd powinna wynosić dla oznakowania świeżego w stanie suchym:</w:t>
      </w:r>
    </w:p>
    <w:p w:rsidR="00C719A9" w:rsidRDefault="00C719A9">
      <w:pPr>
        <w:pStyle w:val="BodyText"/>
        <w:spacing w:before="120" w:after="120"/>
        <w:ind w:firstLine="200"/>
      </w:pPr>
      <w:r>
        <w:t>- oznakowanie cienkowarstwowe co najmniej 130 mcd m-2 Ix-1</w:t>
      </w:r>
    </w:p>
    <w:p w:rsidR="00C719A9" w:rsidRDefault="00C719A9">
      <w:pPr>
        <w:pStyle w:val="BodyText"/>
        <w:spacing w:before="120" w:after="120"/>
        <w:ind w:firstLine="200"/>
      </w:pPr>
      <w:r>
        <w:t>- oznakowanie grubowarstwowe gładkie co najmniej 130 mcd m-2 Ix-1</w:t>
      </w:r>
    </w:p>
    <w:p w:rsidR="00C719A9" w:rsidRDefault="00C719A9">
      <w:pPr>
        <w:pStyle w:val="BodyText"/>
        <w:spacing w:before="120" w:after="120"/>
        <w:ind w:firstLine="200"/>
      </w:pPr>
      <w:r>
        <w:t>Wartość współczynnika RL powinna wynosić dla oznakowania używanego po 12 miesiącach eksploatacji</w:t>
      </w:r>
    </w:p>
    <w:p w:rsidR="00C719A9" w:rsidRDefault="00C719A9">
      <w:pPr>
        <w:pStyle w:val="BodyText"/>
        <w:spacing w:before="120" w:after="120"/>
        <w:ind w:firstLine="200"/>
      </w:pPr>
      <w:r>
        <w:t>- oznakowanie cienkowarstwowe co najmniej 100 mcd m-2 Ix-1</w:t>
      </w:r>
    </w:p>
    <w:p w:rsidR="00C719A9" w:rsidRDefault="00C719A9">
      <w:pPr>
        <w:pStyle w:val="BodyText"/>
        <w:spacing w:before="120" w:after="120"/>
        <w:ind w:firstLine="200"/>
      </w:pPr>
      <w:r>
        <w:t>- oznakowanie grubowarstwowe gładkie co najmniej 100 mcd m-2 Ix-1</w:t>
      </w:r>
    </w:p>
    <w:p w:rsidR="00C719A9" w:rsidRDefault="00C719A9">
      <w:pPr>
        <w:pStyle w:val="Heading1"/>
      </w:pPr>
      <w:bookmarkStart w:id="6" w:name="_Toc420816686"/>
    </w:p>
    <w:p w:rsidR="00C719A9" w:rsidRDefault="00C719A9">
      <w:pPr>
        <w:pStyle w:val="Heading1"/>
      </w:pPr>
      <w:r>
        <w:t>8. Obmiar robót</w:t>
      </w:r>
      <w:bookmarkEnd w:id="6"/>
    </w:p>
    <w:p w:rsidR="00C719A9" w:rsidRDefault="00C719A9">
      <w:pPr>
        <w:pStyle w:val="Heading2"/>
      </w:pPr>
      <w:r>
        <w:t>8.1. Ogólne zasady obmiaru robót</w:t>
      </w:r>
    </w:p>
    <w:p w:rsidR="00C719A9" w:rsidRDefault="00C719A9">
      <w:pPr>
        <w:pStyle w:val="BodyText"/>
      </w:pPr>
      <w:r>
        <w:tab/>
        <w:t>Ogólne zasady obmiaru robót podano w OST D-M-00.00.00 „Wymagania ogólne” pkt 7.</w:t>
      </w:r>
    </w:p>
    <w:p w:rsidR="00C719A9" w:rsidRDefault="00C719A9">
      <w:pPr>
        <w:pStyle w:val="Heading2"/>
      </w:pPr>
      <w:r>
        <w:t>8.2. Jednostka obmiarowa</w:t>
      </w:r>
    </w:p>
    <w:p w:rsidR="00C719A9" w:rsidRDefault="00C719A9">
      <w:pPr>
        <w:spacing w:after="120"/>
        <w:rPr>
          <w:sz w:val="20"/>
        </w:rPr>
      </w:pPr>
      <w:r>
        <w:rPr>
          <w:sz w:val="20"/>
        </w:rPr>
        <w:tab/>
        <w:t>Jednostką obmiarową oznakowania poziomego jest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(metr kwadratowy) powierzchni naniesionych znaków lub liczba umieszczonych punktowych elementów odblaskowych.</w:t>
      </w:r>
    </w:p>
    <w:p w:rsidR="00C719A9" w:rsidRDefault="00C719A9">
      <w:pPr>
        <w:pStyle w:val="Heading1"/>
      </w:pPr>
      <w:bookmarkStart w:id="7" w:name="_Toc420816687"/>
      <w:r>
        <w:t>9. odbiór robót</w:t>
      </w:r>
      <w:bookmarkEnd w:id="7"/>
    </w:p>
    <w:p w:rsidR="00C719A9" w:rsidRDefault="00C719A9">
      <w:pPr>
        <w:pStyle w:val="Heading2"/>
      </w:pPr>
      <w:r>
        <w:t>9.1. Ogólne zasady odbioru robót</w:t>
      </w:r>
    </w:p>
    <w:p w:rsidR="00C719A9" w:rsidRDefault="00C719A9">
      <w:pPr>
        <w:rPr>
          <w:sz w:val="20"/>
        </w:rPr>
      </w:pPr>
      <w:r>
        <w:rPr>
          <w:sz w:val="20"/>
        </w:rPr>
        <w:tab/>
        <w:t>Ogólne zasady odbioru robót podano w OST D-M-00.00.00 „Wymagania ogólne” pkt 8.</w:t>
      </w:r>
    </w:p>
    <w:p w:rsidR="00C719A9" w:rsidRDefault="00C719A9">
      <w:pPr>
        <w:pStyle w:val="BodyText"/>
      </w:pPr>
      <w:r>
        <w:tab/>
        <w:t>Roboty uznaje się za wykonane zgodnie z dokumentacją projektową, SST i wymaganiami Inspektora Nadzoru, jeżeli wszystkie pomiary i badania, z zachowaniem tolerancji wg pkt 6, dały wyniki pozytywne.</w:t>
      </w:r>
    </w:p>
    <w:p w:rsidR="00C719A9" w:rsidRDefault="00C719A9">
      <w:pPr>
        <w:rPr>
          <w:sz w:val="20"/>
        </w:rPr>
      </w:pPr>
      <w:r>
        <w:rPr>
          <w:sz w:val="20"/>
        </w:rPr>
        <w:tab/>
      </w:r>
    </w:p>
    <w:p w:rsidR="00C719A9" w:rsidRDefault="00C719A9">
      <w:pPr>
        <w:pStyle w:val="Heading2"/>
      </w:pPr>
      <w:r>
        <w:t>9.2. Odbiór robót zanikających i ulegających zakryciu</w:t>
      </w:r>
    </w:p>
    <w:p w:rsidR="00C719A9" w:rsidRDefault="00C719A9">
      <w:pPr>
        <w:rPr>
          <w:sz w:val="20"/>
        </w:rPr>
      </w:pPr>
      <w:r>
        <w:rPr>
          <w:sz w:val="20"/>
        </w:rPr>
        <w:tab/>
        <w:t>Odbiór robót zanikających i ulegających zakryciu, w zależności od przyjętego sposobu wykonania robót, może być dokonany po:</w:t>
      </w:r>
    </w:p>
    <w:p w:rsidR="00C719A9" w:rsidRDefault="00C719A9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226" w:lineRule="exact"/>
        <w:rPr>
          <w:sz w:val="20"/>
          <w:szCs w:val="18"/>
        </w:rPr>
      </w:pPr>
      <w:r>
        <w:rPr>
          <w:sz w:val="20"/>
          <w:szCs w:val="18"/>
        </w:rPr>
        <w:t>oczyszczeniu powierzchni nawierzchni,</w:t>
      </w:r>
    </w:p>
    <w:p w:rsidR="00C719A9" w:rsidRDefault="00C719A9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26" w:lineRule="exact"/>
        <w:rPr>
          <w:sz w:val="20"/>
          <w:szCs w:val="18"/>
        </w:rPr>
      </w:pPr>
      <w:r>
        <w:rPr>
          <w:sz w:val="20"/>
          <w:szCs w:val="18"/>
        </w:rPr>
        <w:t>przed znakowaniu,</w:t>
      </w:r>
    </w:p>
    <w:p w:rsidR="00C719A9" w:rsidRDefault="00C719A9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26" w:lineRule="exact"/>
        <w:rPr>
          <w:sz w:val="20"/>
          <w:szCs w:val="18"/>
        </w:rPr>
      </w:pPr>
      <w:r>
        <w:rPr>
          <w:sz w:val="20"/>
          <w:szCs w:val="18"/>
        </w:rPr>
        <w:t>frezowaniu nawierzchni przed wykonaniem znakowania materiałem grubowarstwowym,</w:t>
      </w:r>
    </w:p>
    <w:p w:rsidR="00C719A9" w:rsidRDefault="00C719A9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26" w:lineRule="exact"/>
        <w:ind w:left="283" w:hanging="283"/>
        <w:rPr>
          <w:sz w:val="20"/>
        </w:rPr>
      </w:pPr>
      <w:r>
        <w:rPr>
          <w:sz w:val="20"/>
          <w:szCs w:val="18"/>
        </w:rPr>
        <w:t>usunięciu istniejącego oznakowania poziomego.</w:t>
      </w:r>
    </w:p>
    <w:p w:rsidR="00C719A9" w:rsidRDefault="00C719A9">
      <w:pPr>
        <w:pStyle w:val="Heading2"/>
      </w:pPr>
      <w:r>
        <w:t>9.3. Odbiór ostateczny</w:t>
      </w:r>
    </w:p>
    <w:p w:rsidR="00C719A9" w:rsidRDefault="00C719A9">
      <w:pPr>
        <w:pStyle w:val="BodyText"/>
      </w:pPr>
      <w:r>
        <w:tab/>
        <w:t>Odbioru ostatecznego należy dokonać po całkowitym zakończeniu robót, na podstawie wyników pomiarów i badań jakościowych określonych w punktach od 2 do 6.</w:t>
      </w:r>
    </w:p>
    <w:p w:rsidR="00C719A9" w:rsidRDefault="00C719A9">
      <w:pPr>
        <w:pStyle w:val="Heading2"/>
      </w:pPr>
      <w:r>
        <w:t>9.4. Odbiór pogwarancyjny</w:t>
      </w:r>
    </w:p>
    <w:p w:rsidR="00C719A9" w:rsidRDefault="00C719A9">
      <w:pPr>
        <w:pStyle w:val="BodyText"/>
      </w:pPr>
      <w:r>
        <w:tab/>
        <w:t>Odbioru pogwarancyjnego należy dokonać po upływie okresu gwarancyjnego, ustalonego w SST. Sprawdzeniu podlegają cechy oznakowania określone w POD-97 [4].</w:t>
      </w:r>
    </w:p>
    <w:p w:rsidR="00C719A9" w:rsidRDefault="00C719A9">
      <w:pPr>
        <w:rPr>
          <w:sz w:val="20"/>
        </w:rPr>
      </w:pPr>
      <w:r>
        <w:rPr>
          <w:sz w:val="20"/>
        </w:rPr>
        <w:tab/>
        <w:t>Zaleca się stosowanie następujących minimalnych okresów gwarancyjnych:</w:t>
      </w:r>
    </w:p>
    <w:p w:rsidR="00C719A9" w:rsidRDefault="00C719A9">
      <w:pPr>
        <w:rPr>
          <w:sz w:val="20"/>
        </w:rPr>
      </w:pPr>
      <w:r>
        <w:rPr>
          <w:sz w:val="20"/>
        </w:rPr>
        <w:t>a) dla oznakowania cienkowarstwowego:</w:t>
      </w:r>
    </w:p>
    <w:p w:rsidR="00C719A9" w:rsidRDefault="00C719A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na przejściach dla pieszych na odcinkach zamiejskich 12 miesięcy,</w:t>
      </w:r>
    </w:p>
    <w:p w:rsidR="00C719A9" w:rsidRDefault="00C719A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na nawierzchniach bitumicznych o warstwie ścieralnej spękanej, kruszącej się, z luźnymi grysami oraz na nawierzchni w miejscach wykonywanych remontów cząstkowych emulsją asfaltową i grysami skraca się okres gwarancyjny dla pozostałych linii poziomych do 6 miesięcy.</w:t>
      </w:r>
    </w:p>
    <w:p w:rsidR="00C719A9" w:rsidRDefault="00C719A9">
      <w:pPr>
        <w:rPr>
          <w:sz w:val="20"/>
        </w:rPr>
      </w:pPr>
      <w:r>
        <w:rPr>
          <w:sz w:val="20"/>
        </w:rPr>
        <w:t xml:space="preserve">b) dla oznakowania grubowarstwowego 24 miesiące </w:t>
      </w:r>
    </w:p>
    <w:p w:rsidR="00C719A9" w:rsidRDefault="00C719A9">
      <w:pPr>
        <w:pStyle w:val="Heading1"/>
      </w:pPr>
      <w:bookmarkStart w:id="8" w:name="_Toc420816688"/>
      <w:r>
        <w:t>10. podstawa płatności</w:t>
      </w:r>
      <w:bookmarkEnd w:id="8"/>
    </w:p>
    <w:p w:rsidR="00C719A9" w:rsidRDefault="00C719A9">
      <w:pPr>
        <w:pStyle w:val="Heading2"/>
      </w:pPr>
      <w:r>
        <w:t>10.1. Ogólne ustalenia dotyczące podstawy płatności</w:t>
      </w:r>
    </w:p>
    <w:p w:rsidR="00C719A9" w:rsidRDefault="00C719A9">
      <w:pPr>
        <w:pStyle w:val="BodyText"/>
      </w:pPr>
      <w:r>
        <w:t>Ogólne ustalenia dotyczące podstawy płatności podano w OST D-M-00.00.00 „Wymagania ogólne” pkt 9.</w:t>
      </w:r>
    </w:p>
    <w:p w:rsidR="00C719A9" w:rsidRDefault="00C719A9">
      <w:pPr>
        <w:pStyle w:val="Heading2"/>
      </w:pPr>
      <w:r>
        <w:t>10.2. Cena jednostki obmiarowej</w:t>
      </w:r>
    </w:p>
    <w:p w:rsidR="00C719A9" w:rsidRDefault="00C719A9">
      <w:pPr>
        <w:shd w:val="clear" w:color="auto" w:fill="FFFFFF"/>
        <w:spacing w:before="96" w:line="226" w:lineRule="exact"/>
        <w:ind w:left="662"/>
        <w:rPr>
          <w:sz w:val="20"/>
        </w:rPr>
      </w:pPr>
      <w:r>
        <w:rPr>
          <w:sz w:val="20"/>
        </w:rPr>
        <w:tab/>
      </w:r>
      <w:r>
        <w:rPr>
          <w:sz w:val="20"/>
          <w:szCs w:val="18"/>
        </w:rPr>
        <w:t>Cena 1 m</w:t>
      </w:r>
      <w:r>
        <w:rPr>
          <w:sz w:val="20"/>
          <w:szCs w:val="18"/>
          <w:vertAlign w:val="superscript"/>
        </w:rPr>
        <w:t>2</w:t>
      </w:r>
      <w:r>
        <w:rPr>
          <w:sz w:val="20"/>
          <w:szCs w:val="18"/>
        </w:rPr>
        <w:t xml:space="preserve"> wykonania robót obejmuje:</w:t>
      </w:r>
    </w:p>
    <w:p w:rsidR="00C719A9" w:rsidRDefault="00C719A9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226" w:lineRule="exact"/>
        <w:rPr>
          <w:sz w:val="20"/>
          <w:szCs w:val="18"/>
        </w:rPr>
      </w:pPr>
      <w:r>
        <w:rPr>
          <w:sz w:val="20"/>
          <w:szCs w:val="18"/>
        </w:rPr>
        <w:t>prace pomiarowe, roboty przygotowawcze i oznakowanie robót,</w:t>
      </w:r>
    </w:p>
    <w:p w:rsidR="00C719A9" w:rsidRDefault="00C719A9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26" w:lineRule="exact"/>
        <w:rPr>
          <w:sz w:val="20"/>
          <w:szCs w:val="18"/>
        </w:rPr>
      </w:pPr>
      <w:r>
        <w:rPr>
          <w:sz w:val="20"/>
          <w:szCs w:val="18"/>
        </w:rPr>
        <w:t>przygotowanie i dostarczenie materiałów,</w:t>
      </w:r>
    </w:p>
    <w:p w:rsidR="00C719A9" w:rsidRDefault="00C719A9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26" w:lineRule="exact"/>
        <w:rPr>
          <w:sz w:val="20"/>
          <w:szCs w:val="18"/>
        </w:rPr>
      </w:pPr>
      <w:r>
        <w:rPr>
          <w:sz w:val="20"/>
          <w:szCs w:val="18"/>
        </w:rPr>
        <w:t>oczyszczenie podłoża (nawierzchni),</w:t>
      </w:r>
    </w:p>
    <w:p w:rsidR="00C719A9" w:rsidRDefault="00C719A9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26" w:lineRule="exact"/>
        <w:rPr>
          <w:sz w:val="20"/>
          <w:szCs w:val="18"/>
        </w:rPr>
      </w:pPr>
      <w:r>
        <w:rPr>
          <w:sz w:val="20"/>
          <w:szCs w:val="18"/>
        </w:rPr>
        <w:t>przed znakowanie,</w:t>
      </w:r>
    </w:p>
    <w:p w:rsidR="00C719A9" w:rsidRDefault="00C719A9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10" w:line="216" w:lineRule="exact"/>
        <w:ind w:left="264" w:right="346" w:hanging="264"/>
        <w:jc w:val="both"/>
        <w:rPr>
          <w:sz w:val="20"/>
          <w:szCs w:val="18"/>
        </w:rPr>
      </w:pPr>
      <w:r>
        <w:rPr>
          <w:sz w:val="20"/>
          <w:szCs w:val="18"/>
        </w:rPr>
        <w:t>naniesienie powłoki znaków na nawierzchnię drogi o kształtach i wymiarach zgodnych z  „Załącznikiem nr 2 do rozporządzenia Ministra Infrastruktury z dnia 3 lipca 2003 r. w sprawie szczegółowych warunków technicznych dla znaków i sygnałów drogowych oraz urządzeń bezpieczeństwa ruchu drogowego i warunków ich umieszczania na drogach”,</w:t>
      </w:r>
    </w:p>
    <w:p w:rsidR="00C719A9" w:rsidRDefault="00C719A9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10" w:line="216" w:lineRule="exact"/>
        <w:rPr>
          <w:sz w:val="20"/>
          <w:szCs w:val="18"/>
        </w:rPr>
      </w:pPr>
      <w:r>
        <w:rPr>
          <w:sz w:val="20"/>
          <w:szCs w:val="18"/>
        </w:rPr>
        <w:t>ochrona znaków przed zniszczeniem przez pojazdy w czasie prowadzenia robót,</w:t>
      </w:r>
    </w:p>
    <w:p w:rsidR="00C719A9" w:rsidRDefault="00C719A9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19"/>
        <w:rPr>
          <w:sz w:val="20"/>
          <w:szCs w:val="18"/>
        </w:rPr>
      </w:pPr>
      <w:r>
        <w:rPr>
          <w:sz w:val="20"/>
          <w:szCs w:val="18"/>
        </w:rPr>
        <w:t>przeprowadzenie pomiarów i badań laboratoryjnych wymaganych w specyfikacji technicznej.</w:t>
      </w:r>
    </w:p>
    <w:p w:rsidR="00C719A9" w:rsidRDefault="00C719A9">
      <w:pPr>
        <w:spacing w:after="120"/>
        <w:rPr>
          <w:sz w:val="20"/>
        </w:rPr>
      </w:pPr>
    </w:p>
    <w:p w:rsidR="00C719A9" w:rsidRDefault="00C719A9">
      <w:pPr>
        <w:shd w:val="clear" w:color="auto" w:fill="FFFFFF"/>
        <w:spacing w:before="144"/>
        <w:rPr>
          <w:sz w:val="20"/>
        </w:rPr>
      </w:pPr>
      <w:r>
        <w:rPr>
          <w:b/>
          <w:bCs/>
          <w:sz w:val="20"/>
          <w:szCs w:val="18"/>
        </w:rPr>
        <w:t>11. PRZEPISY ZWI</w:t>
      </w:r>
      <w:r>
        <w:rPr>
          <w:sz w:val="20"/>
          <w:szCs w:val="18"/>
        </w:rPr>
        <w:t>Ą</w:t>
      </w:r>
      <w:r>
        <w:rPr>
          <w:b/>
          <w:bCs/>
          <w:sz w:val="20"/>
          <w:szCs w:val="18"/>
        </w:rPr>
        <w:t>ZANE</w:t>
      </w:r>
    </w:p>
    <w:p w:rsidR="00C719A9" w:rsidRDefault="00C719A9">
      <w:pPr>
        <w:shd w:val="clear" w:color="auto" w:fill="FFFFFF"/>
        <w:tabs>
          <w:tab w:val="left" w:pos="466"/>
        </w:tabs>
        <w:spacing w:before="230"/>
        <w:rPr>
          <w:sz w:val="20"/>
        </w:rPr>
      </w:pPr>
      <w:r>
        <w:rPr>
          <w:b/>
          <w:bCs/>
          <w:sz w:val="20"/>
          <w:szCs w:val="18"/>
        </w:rPr>
        <w:t>11.1.</w:t>
      </w:r>
      <w:r>
        <w:rPr>
          <w:b/>
          <w:bCs/>
          <w:sz w:val="20"/>
          <w:szCs w:val="18"/>
        </w:rPr>
        <w:tab/>
        <w:t>Normy</w:t>
      </w:r>
    </w:p>
    <w:p w:rsidR="00C719A9" w:rsidRDefault="00C719A9">
      <w:pPr>
        <w:numPr>
          <w:ilvl w:val="0"/>
          <w:numId w:val="5"/>
        </w:numPr>
        <w:shd w:val="clear" w:color="auto" w:fill="FFFFFF"/>
        <w:tabs>
          <w:tab w:val="left" w:pos="466"/>
          <w:tab w:val="left" w:pos="2198"/>
        </w:tabs>
        <w:spacing w:before="110" w:line="216" w:lineRule="exact"/>
        <w:ind w:left="86"/>
        <w:rPr>
          <w:sz w:val="20"/>
          <w:szCs w:val="18"/>
        </w:rPr>
      </w:pPr>
      <w:r>
        <w:rPr>
          <w:sz w:val="20"/>
          <w:szCs w:val="18"/>
        </w:rPr>
        <w:t>PN-C-81400</w:t>
      </w:r>
      <w:r>
        <w:rPr>
          <w:sz w:val="20"/>
          <w:szCs w:val="18"/>
        </w:rPr>
        <w:tab/>
        <w:t>Wyroby lakierowe. Pakowanie, przechowywanie i transport</w:t>
      </w:r>
    </w:p>
    <w:p w:rsidR="00C719A9" w:rsidRDefault="00C719A9">
      <w:pPr>
        <w:numPr>
          <w:ilvl w:val="0"/>
          <w:numId w:val="5"/>
        </w:numPr>
        <w:shd w:val="clear" w:color="auto" w:fill="FFFFFF"/>
        <w:tabs>
          <w:tab w:val="left" w:pos="466"/>
          <w:tab w:val="left" w:pos="2198"/>
        </w:tabs>
        <w:spacing w:line="216" w:lineRule="exact"/>
        <w:ind w:left="86"/>
        <w:rPr>
          <w:sz w:val="20"/>
          <w:szCs w:val="18"/>
        </w:rPr>
      </w:pPr>
      <w:r>
        <w:rPr>
          <w:sz w:val="20"/>
          <w:szCs w:val="18"/>
        </w:rPr>
        <w:t>PN-O-79252</w:t>
      </w:r>
      <w:r>
        <w:rPr>
          <w:sz w:val="20"/>
          <w:szCs w:val="18"/>
        </w:rPr>
        <w:tab/>
        <w:t>Opakowania   transportowe   z  zawartością.   Znaki   i   znakowanie.  Wymagania</w:t>
      </w:r>
    </w:p>
    <w:p w:rsidR="00C719A9" w:rsidRDefault="00C719A9">
      <w:pPr>
        <w:shd w:val="clear" w:color="auto" w:fill="FFFFFF"/>
        <w:spacing w:line="216" w:lineRule="exact"/>
        <w:ind w:left="2198"/>
        <w:rPr>
          <w:sz w:val="20"/>
        </w:rPr>
      </w:pPr>
      <w:r>
        <w:rPr>
          <w:sz w:val="20"/>
          <w:szCs w:val="18"/>
        </w:rPr>
        <w:t>podstawowe.</w:t>
      </w:r>
    </w:p>
    <w:p w:rsidR="00C719A9" w:rsidRDefault="00C719A9">
      <w:pPr>
        <w:shd w:val="clear" w:color="auto" w:fill="FFFFFF"/>
        <w:tabs>
          <w:tab w:val="left" w:pos="466"/>
        </w:tabs>
        <w:spacing w:before="110"/>
        <w:rPr>
          <w:sz w:val="20"/>
        </w:rPr>
      </w:pPr>
      <w:r>
        <w:rPr>
          <w:b/>
          <w:bCs/>
          <w:sz w:val="20"/>
          <w:szCs w:val="18"/>
        </w:rPr>
        <w:t>11.2.</w:t>
      </w:r>
      <w:r>
        <w:rPr>
          <w:b/>
          <w:bCs/>
          <w:sz w:val="20"/>
          <w:szCs w:val="18"/>
        </w:rPr>
        <w:tab/>
        <w:t>Inne dokumenty</w:t>
      </w:r>
    </w:p>
    <w:p w:rsidR="00C719A9" w:rsidRDefault="00C719A9">
      <w:pPr>
        <w:numPr>
          <w:ilvl w:val="0"/>
          <w:numId w:val="6"/>
        </w:numPr>
        <w:shd w:val="clear" w:color="auto" w:fill="FFFFFF"/>
        <w:tabs>
          <w:tab w:val="left" w:pos="374"/>
        </w:tabs>
        <w:spacing w:before="115" w:line="211" w:lineRule="exact"/>
        <w:ind w:left="374" w:right="264" w:hanging="264"/>
        <w:jc w:val="both"/>
        <w:rPr>
          <w:sz w:val="20"/>
          <w:szCs w:val="18"/>
        </w:rPr>
      </w:pPr>
      <w:r>
        <w:rPr>
          <w:sz w:val="20"/>
          <w:szCs w:val="18"/>
        </w:rPr>
        <w:t>Szczegółowe warunki techniczne dla znaków drogowych poziomych i warunki ich umieszczania na drogach Załącznik nr 2 do rozporządzenia Ministra Infrastruktury z dnia 3 lipca 2003 r. w sprawie szczegółowych warunków technicznych dla znaków i sygnałów drogowych oraz urządzeń bezpieczeństwa ruchu drogowego i warunków ich umieszczania na drogach.</w:t>
      </w:r>
    </w:p>
    <w:p w:rsidR="00C719A9" w:rsidRDefault="00C719A9">
      <w:r>
        <w:rPr>
          <w:sz w:val="20"/>
          <w:szCs w:val="18"/>
        </w:rPr>
        <w:t>Warunki techniczne. Poziome znakowanie dróg. PZD-97. Seria „I” - Informacje, Instrukcje. Zeszyt nr55.IBDiM,Warszawa,1997R.</w:t>
      </w:r>
    </w:p>
    <w:p w:rsidR="00C719A9" w:rsidRDefault="00C719A9"/>
    <w:sectPr w:rsidR="00C719A9" w:rsidSect="00EF4D8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A9" w:rsidRDefault="00C719A9">
      <w:r>
        <w:separator/>
      </w:r>
    </w:p>
  </w:endnote>
  <w:endnote w:type="continuationSeparator" w:id="0">
    <w:p w:rsidR="00C719A9" w:rsidRDefault="00C7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A9" w:rsidRDefault="00C719A9" w:rsidP="009F5A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19A9" w:rsidRDefault="00C719A9" w:rsidP="009F5AC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A9" w:rsidRDefault="00C719A9" w:rsidP="009F5A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719A9" w:rsidRDefault="00C719A9" w:rsidP="009F5AC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A9" w:rsidRDefault="00C719A9">
      <w:r>
        <w:separator/>
      </w:r>
    </w:p>
  </w:footnote>
  <w:footnote w:type="continuationSeparator" w:id="0">
    <w:p w:rsidR="00C719A9" w:rsidRDefault="00C71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1672909"/>
    <w:multiLevelType w:val="singleLevel"/>
    <w:tmpl w:val="21672909"/>
    <w:lvl w:ilvl="0">
      <w:start w:val="3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">
    <w:nsid w:val="353D2CBF"/>
    <w:multiLevelType w:val="singleLevel"/>
    <w:tmpl w:val="353D2CBF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45CA22DC"/>
    <w:multiLevelType w:val="singleLevel"/>
    <w:tmpl w:val="45CA22DC"/>
    <w:lvl w:ilvl="0">
      <w:start w:val="1"/>
      <w:numFmt w:val="decimal"/>
      <w:lvlText w:val="%1."/>
      <w:legacy w:legacy="1" w:legacySpace="0" w:legacyIndent="380"/>
      <w:lvlJc w:val="left"/>
      <w:rPr>
        <w:rFonts w:ascii="Arial" w:hAnsi="Arial" w:cs="Arial" w:hint="default"/>
      </w:rPr>
    </w:lvl>
  </w:abstractNum>
  <w:abstractNum w:abstractNumId="4">
    <w:nsid w:val="58FDCDCE"/>
    <w:multiLevelType w:val="singleLevel"/>
    <w:tmpl w:val="58FDCDCE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AA7967"/>
    <w:rsid w:val="001A6B52"/>
    <w:rsid w:val="0078173A"/>
    <w:rsid w:val="009335F2"/>
    <w:rsid w:val="009E6F82"/>
    <w:rsid w:val="009F5AC2"/>
    <w:rsid w:val="00AE3A1B"/>
    <w:rsid w:val="00B50D07"/>
    <w:rsid w:val="00B730C8"/>
    <w:rsid w:val="00C719A9"/>
    <w:rsid w:val="00C965C0"/>
    <w:rsid w:val="00CA42CC"/>
    <w:rsid w:val="00CD6C77"/>
    <w:rsid w:val="00EF4D8C"/>
    <w:rsid w:val="00F164BF"/>
    <w:rsid w:val="0EAA7967"/>
    <w:rsid w:val="22D5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4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4D8C"/>
    <w:pPr>
      <w:keepNext/>
      <w:keepLines/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b/>
      <w: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4D8C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A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3A1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F4D8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3A1B"/>
    <w:rPr>
      <w:rFonts w:cs="Times New Roman"/>
      <w:sz w:val="24"/>
      <w:szCs w:val="24"/>
    </w:rPr>
  </w:style>
  <w:style w:type="paragraph" w:styleId="TOC1">
    <w:name w:val="toc 1"/>
    <w:basedOn w:val="Normal"/>
    <w:next w:val="Normal"/>
    <w:uiPriority w:val="99"/>
    <w:rsid w:val="00EF4D8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Standardowytekst">
    <w:name w:val="Standardowy.tekst"/>
    <w:uiPriority w:val="99"/>
    <w:rsid w:val="00EF4D8C"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paragraph" w:styleId="Footer">
    <w:name w:val="footer"/>
    <w:basedOn w:val="Normal"/>
    <w:link w:val="FooterChar"/>
    <w:uiPriority w:val="99"/>
    <w:locked/>
    <w:rsid w:val="009F5A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138"/>
    <w:rPr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9F5A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3623</Words>
  <Characters>21742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WE WROCŁAWIU</dc:title>
  <dc:subject/>
  <dc:creator>Saturn</dc:creator>
  <cp:keywords/>
  <dc:description/>
  <cp:lastModifiedBy>kjelinek</cp:lastModifiedBy>
  <cp:revision>3</cp:revision>
  <dcterms:created xsi:type="dcterms:W3CDTF">2017-05-29T11:49:00Z</dcterms:created>
  <dcterms:modified xsi:type="dcterms:W3CDTF">2017-05-29T11:52:00Z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